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AF1" w:rsidRPr="0096218C" w:rsidRDefault="00E45AF1" w:rsidP="00E45AF1">
      <w:pPr>
        <w:pStyle w:val="IASBTitle"/>
        <w:spacing w:after="120"/>
        <w:jc w:val="center"/>
        <w:rPr>
          <w:b/>
          <w:lang w:val="ru-RU"/>
        </w:rPr>
      </w:pPr>
      <w:bookmarkStart w:id="0" w:name="F52431505"/>
    </w:p>
    <w:p w:rsidR="00E45AF1" w:rsidRPr="001C32FD" w:rsidRDefault="00E45AF1" w:rsidP="0057106E">
      <w:pPr>
        <w:pStyle w:val="IASBTitle"/>
        <w:rPr>
          <w:rFonts w:ascii="Arial" w:hAnsi="Arial"/>
          <w:lang w:val="ru-RU"/>
        </w:rPr>
      </w:pPr>
      <w:r w:rsidRPr="001C32FD">
        <w:rPr>
          <w:rFonts w:ascii="Arial" w:hAnsi="Arial"/>
          <w:b/>
          <w:lang w:val="ru-RU"/>
        </w:rPr>
        <w:t>Разъяснение КРМФО (</w:t>
      </w:r>
      <w:r w:rsidRPr="001C32FD">
        <w:rPr>
          <w:rFonts w:ascii="Arial" w:hAnsi="Arial"/>
          <w:b/>
          <w:lang w:val="en-GB"/>
        </w:rPr>
        <w:t>IFRIC</w:t>
      </w:r>
      <w:r w:rsidRPr="001C32FD">
        <w:rPr>
          <w:rFonts w:ascii="Arial" w:hAnsi="Arial"/>
          <w:b/>
          <w:lang w:val="ru-RU"/>
        </w:rPr>
        <w:t>) 22</w:t>
      </w:r>
      <w:bookmarkStart w:id="1" w:name="_GoBack"/>
      <w:bookmarkEnd w:id="1"/>
      <w:r w:rsidRPr="001C32FD">
        <w:rPr>
          <w:rFonts w:ascii="Arial" w:hAnsi="Arial"/>
          <w:lang w:val="ru-RU"/>
        </w:rPr>
        <w:br/>
      </w:r>
      <w:r w:rsidRPr="001C32FD">
        <w:rPr>
          <w:rFonts w:ascii="Arial" w:hAnsi="Arial"/>
          <w:lang w:val="ru-RU"/>
        </w:rPr>
        <w:br/>
      </w:r>
      <w:r w:rsidRPr="001C32FD">
        <w:rPr>
          <w:rFonts w:ascii="Arial" w:hAnsi="Arial"/>
          <w:b/>
          <w:i/>
          <w:lang w:val="ru-RU"/>
        </w:rPr>
        <w:t xml:space="preserve">«Операции в иностранной валюте и </w:t>
      </w:r>
      <w:bookmarkEnd w:id="0"/>
      <w:r w:rsidRPr="001C32FD">
        <w:rPr>
          <w:rFonts w:ascii="Arial" w:hAnsi="Arial"/>
          <w:b/>
          <w:i/>
          <w:lang w:val="ru-RU"/>
        </w:rPr>
        <w:t>предварительная оплата»</w:t>
      </w:r>
    </w:p>
    <w:p w:rsidR="00E45AF1" w:rsidRPr="00E45AF1" w:rsidRDefault="00E45AF1" w:rsidP="00E45AF1">
      <w:pPr>
        <w:pStyle w:val="IASBSectionTitle2NonInd"/>
        <w:rPr>
          <w:lang w:val="ru-RU"/>
        </w:rPr>
      </w:pPr>
      <w:bookmarkStart w:id="2" w:name="F52431570"/>
      <w:r>
        <w:rPr>
          <w:lang w:val="ru-RU"/>
        </w:rPr>
        <w:t>Разъяснение КРМФО (IFRIC) </w:t>
      </w:r>
      <w:r w:rsidRPr="00E45AF1">
        <w:rPr>
          <w:lang w:val="ru-RU"/>
        </w:rPr>
        <w:t>22</w:t>
      </w:r>
      <w:r w:rsidRPr="00E45AF1">
        <w:rPr>
          <w:lang w:val="ru-RU"/>
        </w:rPr>
        <w:br/>
      </w:r>
      <w:r>
        <w:rPr>
          <w:i/>
          <w:lang w:val="ru-RU"/>
        </w:rPr>
        <w:t>«</w:t>
      </w:r>
      <w:r w:rsidRPr="00D75009">
        <w:rPr>
          <w:i/>
          <w:lang w:val="ru-RU"/>
        </w:rPr>
        <w:t xml:space="preserve">Операции в иностранной валюте и </w:t>
      </w:r>
      <w:r>
        <w:rPr>
          <w:i/>
          <w:lang w:val="ru-RU"/>
        </w:rPr>
        <w:t>предварительная оплата»</w:t>
      </w:r>
      <w:bookmarkEnd w:id="2"/>
    </w:p>
    <w:p w:rsidR="00E45AF1" w:rsidRPr="00D75009" w:rsidRDefault="00E45AF1" w:rsidP="00E45AF1">
      <w:pPr>
        <w:pStyle w:val="IASBSectionTitle1NonInd"/>
        <w:rPr>
          <w:lang w:val="ru-RU"/>
        </w:rPr>
      </w:pPr>
      <w:r>
        <w:rPr>
          <w:lang w:val="ru-RU"/>
        </w:rPr>
        <w:t>Ссылки</w:t>
      </w:r>
    </w:p>
    <w:p w:rsidR="00E45AF1" w:rsidRPr="00E45AF1" w:rsidRDefault="00E45AF1" w:rsidP="00E45AF1">
      <w:pPr>
        <w:pStyle w:val="IASBNormalL1"/>
        <w:rPr>
          <w:lang w:val="ru-RU"/>
        </w:rPr>
      </w:pPr>
      <w:r w:rsidRPr="00E45AF1">
        <w:rPr>
          <w:lang w:val="ru-RU"/>
        </w:rPr>
        <w:t>•</w:t>
      </w:r>
      <w:r w:rsidRPr="00E45AF1">
        <w:rPr>
          <w:lang w:val="ru-RU"/>
        </w:rPr>
        <w:tab/>
      </w:r>
      <w:bookmarkStart w:id="3" w:name="F52431577"/>
      <w:r w:rsidRPr="00410355">
        <w:rPr>
          <w:i/>
          <w:szCs w:val="19"/>
          <w:lang w:val="ru-RU"/>
        </w:rPr>
        <w:t xml:space="preserve">Концептуальные основы финансовой </w:t>
      </w:r>
      <w:r w:rsidR="00410355" w:rsidRPr="00410355">
        <w:rPr>
          <w:i/>
          <w:szCs w:val="19"/>
          <w:lang w:val="ru-RU" w:eastAsia="en-GB"/>
        </w:rPr>
        <w:t>отчетности</w:t>
      </w:r>
      <w:r w:rsidR="00410355" w:rsidRPr="00410355">
        <w:rPr>
          <w:i/>
          <w:sz w:val="20"/>
          <w:vertAlign w:val="superscript"/>
          <w:lang w:val="ru-RU" w:eastAsia="en-GB"/>
        </w:rPr>
        <w:footnoteReference w:id="1"/>
      </w:r>
      <w:r>
        <w:rPr>
          <w:i/>
          <w:lang w:val="ru-RU"/>
        </w:rPr>
        <w:t>,</w:t>
      </w:r>
      <w:r w:rsidRPr="00E45AF1">
        <w:rPr>
          <w:lang w:val="ru-RU"/>
        </w:rPr>
        <w:t xml:space="preserve"> </w:t>
      </w:r>
      <w:bookmarkEnd w:id="3"/>
    </w:p>
    <w:p w:rsidR="00E45AF1" w:rsidRPr="00D75009" w:rsidRDefault="00E45AF1" w:rsidP="00E45AF1">
      <w:pPr>
        <w:pStyle w:val="IASBNormalL1"/>
        <w:rPr>
          <w:lang w:val="ru-RU"/>
        </w:rPr>
      </w:pPr>
      <w:r w:rsidRPr="00E45AF1">
        <w:rPr>
          <w:lang w:val="ru-RU"/>
        </w:rPr>
        <w:t>•</w:t>
      </w:r>
      <w:r w:rsidRPr="00E45AF1">
        <w:rPr>
          <w:lang w:val="ru-RU"/>
        </w:rPr>
        <w:tab/>
      </w:r>
      <w:bookmarkStart w:id="4" w:name="F52431580"/>
      <w:r>
        <w:rPr>
          <w:lang w:val="ru-RU"/>
        </w:rPr>
        <w:t>МСФО (IAS) </w:t>
      </w:r>
      <w:r w:rsidRPr="00E45AF1">
        <w:rPr>
          <w:lang w:val="ru-RU"/>
        </w:rPr>
        <w:t>8</w:t>
      </w:r>
      <w:r>
        <w:rPr>
          <w:lang w:val="ru-RU"/>
        </w:rPr>
        <w:t xml:space="preserve"> </w:t>
      </w:r>
      <w:r>
        <w:rPr>
          <w:i/>
          <w:lang w:val="ru-RU"/>
        </w:rPr>
        <w:t>«</w:t>
      </w:r>
      <w:r w:rsidRPr="00D75009">
        <w:rPr>
          <w:i/>
          <w:lang w:val="ru-RU"/>
        </w:rPr>
        <w:t>Учетная политика, изменения в бухгалтерских оценках и ошибки</w:t>
      </w:r>
      <w:r>
        <w:rPr>
          <w:i/>
          <w:lang w:val="ru-RU"/>
        </w:rPr>
        <w:t>»</w:t>
      </w:r>
      <w:bookmarkEnd w:id="4"/>
      <w:r>
        <w:rPr>
          <w:i/>
          <w:lang w:val="ru-RU"/>
        </w:rPr>
        <w:t>,</w:t>
      </w:r>
    </w:p>
    <w:p w:rsidR="00E45AF1" w:rsidRPr="00E45AF1" w:rsidRDefault="00E45AF1" w:rsidP="00E45AF1">
      <w:pPr>
        <w:pStyle w:val="IASBNormalL1"/>
        <w:rPr>
          <w:lang w:val="ru-RU"/>
        </w:rPr>
      </w:pPr>
      <w:r w:rsidRPr="00E45AF1">
        <w:rPr>
          <w:lang w:val="ru-RU"/>
        </w:rPr>
        <w:t>•</w:t>
      </w:r>
      <w:r w:rsidRPr="00E45AF1">
        <w:rPr>
          <w:lang w:val="ru-RU"/>
        </w:rPr>
        <w:tab/>
      </w:r>
      <w:bookmarkStart w:id="5" w:name="F52431583"/>
      <w:r>
        <w:rPr>
          <w:lang w:val="ru-RU"/>
        </w:rPr>
        <w:t>МСФО (IAS) </w:t>
      </w:r>
      <w:r w:rsidRPr="00E45AF1">
        <w:rPr>
          <w:lang w:val="ru-RU"/>
        </w:rPr>
        <w:t>21</w:t>
      </w:r>
      <w:r>
        <w:rPr>
          <w:lang w:val="ru-RU"/>
        </w:rPr>
        <w:t xml:space="preserve"> </w:t>
      </w:r>
      <w:r>
        <w:rPr>
          <w:i/>
          <w:lang w:val="ru-RU"/>
        </w:rPr>
        <w:t>«Влияние изменений валютных курсов»</w:t>
      </w:r>
      <w:bookmarkEnd w:id="5"/>
      <w:r>
        <w:rPr>
          <w:i/>
          <w:lang w:val="ru-RU"/>
        </w:rPr>
        <w:t>.</w:t>
      </w:r>
    </w:p>
    <w:p w:rsidR="00E45AF1" w:rsidRPr="00D75009" w:rsidRDefault="00E45AF1" w:rsidP="00E45AF1">
      <w:pPr>
        <w:pStyle w:val="IASBSectionTitle1NonInd"/>
        <w:rPr>
          <w:lang w:val="ru-RU"/>
        </w:rPr>
      </w:pPr>
      <w:r>
        <w:rPr>
          <w:lang w:val="ru-RU"/>
        </w:rPr>
        <w:t>Исходная информация</w:t>
      </w:r>
    </w:p>
    <w:p w:rsidR="00E45AF1" w:rsidRDefault="00E45AF1" w:rsidP="00E45AF1">
      <w:pPr>
        <w:pStyle w:val="IASBNormalnpara"/>
        <w:rPr>
          <w:lang w:val="ru-RU"/>
        </w:rPr>
      </w:pPr>
      <w:r w:rsidRPr="00E45AF1">
        <w:rPr>
          <w:lang w:val="ru-RU"/>
        </w:rPr>
        <w:t>1</w:t>
      </w:r>
      <w:r w:rsidRPr="00E45AF1">
        <w:rPr>
          <w:lang w:val="ru-RU"/>
        </w:rPr>
        <w:tab/>
      </w:r>
      <w:bookmarkStart w:id="6" w:name="F52431587"/>
      <w:r>
        <w:rPr>
          <w:lang w:val="ru-RU"/>
        </w:rPr>
        <w:t>Пункт</w:t>
      </w:r>
      <w:r w:rsidRPr="00E45AF1">
        <w:rPr>
          <w:lang w:val="ru-RU"/>
        </w:rPr>
        <w:t xml:space="preserve"> 21 </w:t>
      </w:r>
      <w:r>
        <w:rPr>
          <w:lang w:val="ru-RU"/>
        </w:rPr>
        <w:t>МСФО (IAS) </w:t>
      </w:r>
      <w:r w:rsidRPr="00E45AF1">
        <w:rPr>
          <w:lang w:val="ru-RU"/>
        </w:rPr>
        <w:t xml:space="preserve">21 </w:t>
      </w:r>
      <w:r>
        <w:rPr>
          <w:i/>
          <w:lang w:val="ru-RU"/>
        </w:rPr>
        <w:t>«Влияние изменений валютных курсов»</w:t>
      </w:r>
      <w:r w:rsidRPr="00E45AF1">
        <w:rPr>
          <w:lang w:val="ru-RU"/>
        </w:rPr>
        <w:t xml:space="preserve"> </w:t>
      </w:r>
      <w:r>
        <w:rPr>
          <w:lang w:val="ru-RU"/>
        </w:rPr>
        <w:t>требует, чтобы п</w:t>
      </w:r>
      <w:r w:rsidRPr="001F5A5E">
        <w:rPr>
          <w:lang w:val="ru-RU"/>
        </w:rPr>
        <w:t xml:space="preserve">ри первоначальном признании </w:t>
      </w:r>
      <w:r w:rsidRPr="00E45AF1">
        <w:rPr>
          <w:szCs w:val="19"/>
          <w:lang w:val="ru-RU"/>
        </w:rPr>
        <w:t xml:space="preserve">операции в иностранной валюте организация учитывала ее в своей функциональной валюте, применяя к сумме в иностранной валюте текущий курс обмена функциональной валюты на иностранную валюту (обменный курс) на дату операции. </w:t>
      </w:r>
      <w:r w:rsidRPr="00B0569A">
        <w:rPr>
          <w:szCs w:val="19"/>
          <w:lang w:val="ru-RU"/>
        </w:rPr>
        <w:t>В пункте 22 МСФО</w:t>
      </w:r>
      <w:r>
        <w:rPr>
          <w:szCs w:val="19"/>
        </w:rPr>
        <w:t> </w:t>
      </w:r>
      <w:r w:rsidRPr="00B0569A">
        <w:rPr>
          <w:szCs w:val="19"/>
          <w:lang w:val="ru-RU"/>
        </w:rPr>
        <w:t>(</w:t>
      </w:r>
      <w:r>
        <w:rPr>
          <w:szCs w:val="19"/>
        </w:rPr>
        <w:t>IAS</w:t>
      </w:r>
      <w:r w:rsidRPr="00B0569A">
        <w:rPr>
          <w:szCs w:val="19"/>
          <w:lang w:val="ru-RU"/>
        </w:rPr>
        <w:t>)</w:t>
      </w:r>
      <w:r>
        <w:rPr>
          <w:szCs w:val="19"/>
        </w:rPr>
        <w:t> </w:t>
      </w:r>
      <w:r w:rsidRPr="00B0569A">
        <w:rPr>
          <w:szCs w:val="19"/>
          <w:lang w:val="ru-RU"/>
        </w:rPr>
        <w:t xml:space="preserve">21 говорится, что датой операции является дата, на которую </w:t>
      </w:r>
      <w:r>
        <w:rPr>
          <w:szCs w:val="19"/>
          <w:lang w:val="ru-RU"/>
        </w:rPr>
        <w:t xml:space="preserve">операция </w:t>
      </w:r>
      <w:r w:rsidRPr="00B0569A">
        <w:rPr>
          <w:szCs w:val="19"/>
          <w:lang w:val="ru-RU"/>
        </w:rPr>
        <w:t xml:space="preserve">впервые </w:t>
      </w:r>
      <w:r>
        <w:rPr>
          <w:szCs w:val="19"/>
          <w:lang w:val="ru-RU"/>
        </w:rPr>
        <w:t xml:space="preserve">удовлетворяет </w:t>
      </w:r>
      <w:r w:rsidRPr="00B0569A">
        <w:rPr>
          <w:szCs w:val="19"/>
          <w:lang w:val="ru-RU"/>
        </w:rPr>
        <w:t>критери</w:t>
      </w:r>
      <w:r>
        <w:rPr>
          <w:szCs w:val="19"/>
          <w:lang w:val="ru-RU"/>
        </w:rPr>
        <w:t>ям</w:t>
      </w:r>
      <w:r w:rsidRPr="00B0569A">
        <w:rPr>
          <w:szCs w:val="19"/>
          <w:lang w:val="ru-RU"/>
        </w:rPr>
        <w:t xml:space="preserve"> признания операции в соответствии с МСФО (стандартами)</w:t>
      </w:r>
      <w:bookmarkEnd w:id="6"/>
      <w:r>
        <w:rPr>
          <w:szCs w:val="19"/>
          <w:lang w:val="ru-RU"/>
        </w:rPr>
        <w:t>.</w:t>
      </w:r>
    </w:p>
    <w:p w:rsidR="00E45AF1" w:rsidRPr="0025051F" w:rsidRDefault="00E45AF1" w:rsidP="00E45AF1">
      <w:pPr>
        <w:pStyle w:val="IASBNormalnpara"/>
        <w:rPr>
          <w:lang w:val="ru-RU"/>
        </w:rPr>
      </w:pPr>
      <w:r w:rsidRPr="00E45AF1">
        <w:rPr>
          <w:lang w:val="ru-RU"/>
        </w:rPr>
        <w:t>2</w:t>
      </w:r>
      <w:proofErr w:type="gramStart"/>
      <w:r w:rsidRPr="00E45AF1">
        <w:rPr>
          <w:lang w:val="ru-RU"/>
        </w:rPr>
        <w:tab/>
      </w:r>
      <w:bookmarkStart w:id="7" w:name="F52431589"/>
      <w:r>
        <w:rPr>
          <w:lang w:val="ru-RU"/>
        </w:rPr>
        <w:t>К</w:t>
      </w:r>
      <w:proofErr w:type="gramEnd"/>
      <w:r>
        <w:rPr>
          <w:lang w:val="ru-RU"/>
        </w:rPr>
        <w:t>огда организация совершает или получает предварительную оплату в иностранной валюте, она, как правило, признает немонетарный актив или немонетарное обязательство</w:t>
      </w:r>
      <w:r w:rsidRPr="008E389D">
        <w:rPr>
          <w:rStyle w:val="a3"/>
          <w:lang w:val="en-GB"/>
        </w:rPr>
        <w:footnoteReference w:id="2"/>
      </w:r>
      <w:r w:rsidRPr="00E45AF1">
        <w:rPr>
          <w:lang w:val="ru-RU"/>
        </w:rPr>
        <w:t xml:space="preserve"> </w:t>
      </w:r>
      <w:r>
        <w:rPr>
          <w:lang w:val="ru-RU"/>
        </w:rPr>
        <w:t xml:space="preserve">до признания </w:t>
      </w:r>
      <w:r w:rsidRPr="00E45AF1">
        <w:rPr>
          <w:szCs w:val="19"/>
          <w:lang w:val="ru-RU"/>
        </w:rPr>
        <w:t>относящегося к нему</w:t>
      </w:r>
      <w:r>
        <w:rPr>
          <w:lang w:val="ru-RU"/>
        </w:rPr>
        <w:t xml:space="preserve"> актива, расхода или дохода</w:t>
      </w:r>
      <w:r w:rsidRPr="00E45AF1">
        <w:rPr>
          <w:lang w:val="ru-RU"/>
        </w:rPr>
        <w:t xml:space="preserve">. </w:t>
      </w:r>
      <w:r>
        <w:rPr>
          <w:lang w:val="ru-RU"/>
        </w:rPr>
        <w:t>Указанный</w:t>
      </w:r>
      <w:r w:rsidRPr="0025051F">
        <w:rPr>
          <w:lang w:val="ru-RU"/>
        </w:rPr>
        <w:t xml:space="preserve"> </w:t>
      </w:r>
      <w:r>
        <w:rPr>
          <w:lang w:val="ru-RU"/>
        </w:rPr>
        <w:t>актив</w:t>
      </w:r>
      <w:r w:rsidRPr="0025051F">
        <w:rPr>
          <w:lang w:val="ru-RU"/>
        </w:rPr>
        <w:t xml:space="preserve">, </w:t>
      </w:r>
      <w:r>
        <w:rPr>
          <w:lang w:val="ru-RU"/>
        </w:rPr>
        <w:t>расход</w:t>
      </w:r>
      <w:r w:rsidRPr="0025051F">
        <w:rPr>
          <w:lang w:val="ru-RU"/>
        </w:rPr>
        <w:t xml:space="preserve"> </w:t>
      </w:r>
      <w:r>
        <w:rPr>
          <w:lang w:val="ru-RU"/>
        </w:rPr>
        <w:t>или</w:t>
      </w:r>
      <w:r w:rsidRPr="0025051F">
        <w:rPr>
          <w:lang w:val="ru-RU"/>
        </w:rPr>
        <w:t xml:space="preserve"> </w:t>
      </w:r>
      <w:r>
        <w:rPr>
          <w:lang w:val="ru-RU"/>
        </w:rPr>
        <w:t>доход</w:t>
      </w:r>
      <w:r w:rsidRPr="0025051F">
        <w:rPr>
          <w:lang w:val="ru-RU"/>
        </w:rPr>
        <w:t xml:space="preserve"> (</w:t>
      </w:r>
      <w:r>
        <w:rPr>
          <w:lang w:val="ru-RU"/>
        </w:rPr>
        <w:t>или</w:t>
      </w:r>
      <w:r w:rsidRPr="0025051F">
        <w:rPr>
          <w:lang w:val="ru-RU"/>
        </w:rPr>
        <w:t xml:space="preserve"> </w:t>
      </w:r>
      <w:r>
        <w:rPr>
          <w:lang w:val="ru-RU"/>
        </w:rPr>
        <w:t>его</w:t>
      </w:r>
      <w:r w:rsidRPr="0025051F">
        <w:rPr>
          <w:lang w:val="ru-RU"/>
        </w:rPr>
        <w:t xml:space="preserve"> </w:t>
      </w:r>
      <w:r>
        <w:rPr>
          <w:lang w:val="ru-RU"/>
        </w:rPr>
        <w:t>часть</w:t>
      </w:r>
      <w:r w:rsidRPr="0025051F">
        <w:rPr>
          <w:lang w:val="ru-RU"/>
        </w:rPr>
        <w:t xml:space="preserve">) </w:t>
      </w:r>
      <w:r>
        <w:rPr>
          <w:lang w:val="ru-RU"/>
        </w:rPr>
        <w:t>является</w:t>
      </w:r>
      <w:r w:rsidRPr="0025051F">
        <w:rPr>
          <w:lang w:val="ru-RU"/>
        </w:rPr>
        <w:t xml:space="preserve"> </w:t>
      </w:r>
      <w:r>
        <w:rPr>
          <w:lang w:val="ru-RU"/>
        </w:rPr>
        <w:t>суммой</w:t>
      </w:r>
      <w:r w:rsidRPr="0025051F">
        <w:rPr>
          <w:lang w:val="ru-RU"/>
        </w:rPr>
        <w:t xml:space="preserve">, </w:t>
      </w:r>
      <w:r>
        <w:rPr>
          <w:lang w:val="ru-RU"/>
        </w:rPr>
        <w:t>признаваемой</w:t>
      </w:r>
      <w:r w:rsidRPr="0025051F">
        <w:rPr>
          <w:lang w:val="ru-RU"/>
        </w:rPr>
        <w:t xml:space="preserve"> </w:t>
      </w:r>
      <w:r>
        <w:rPr>
          <w:lang w:val="ru-RU"/>
        </w:rPr>
        <w:t>с</w:t>
      </w:r>
      <w:r w:rsidRPr="0025051F">
        <w:rPr>
          <w:lang w:val="ru-RU"/>
        </w:rPr>
        <w:t xml:space="preserve"> </w:t>
      </w:r>
      <w:r>
        <w:rPr>
          <w:lang w:val="ru-RU"/>
        </w:rPr>
        <w:t>применением</w:t>
      </w:r>
      <w:r w:rsidRPr="0025051F">
        <w:rPr>
          <w:lang w:val="ru-RU"/>
        </w:rPr>
        <w:t xml:space="preserve"> </w:t>
      </w:r>
      <w:r>
        <w:rPr>
          <w:lang w:val="ru-RU"/>
        </w:rPr>
        <w:t>соответствующих</w:t>
      </w:r>
      <w:r w:rsidRPr="0025051F">
        <w:rPr>
          <w:lang w:val="ru-RU"/>
        </w:rPr>
        <w:t xml:space="preserve"> </w:t>
      </w:r>
      <w:r>
        <w:rPr>
          <w:lang w:val="ru-RU"/>
        </w:rPr>
        <w:t>стандартов</w:t>
      </w:r>
      <w:r w:rsidRPr="0025051F">
        <w:rPr>
          <w:lang w:val="ru-RU"/>
        </w:rPr>
        <w:t xml:space="preserve">, </w:t>
      </w:r>
      <w:r>
        <w:rPr>
          <w:lang w:val="ru-RU"/>
        </w:rPr>
        <w:t>что</w:t>
      </w:r>
      <w:r w:rsidRPr="0025051F">
        <w:rPr>
          <w:lang w:val="ru-RU"/>
        </w:rPr>
        <w:t xml:space="preserve"> </w:t>
      </w:r>
      <w:r>
        <w:rPr>
          <w:lang w:val="ru-RU"/>
        </w:rPr>
        <w:t>приводит</w:t>
      </w:r>
      <w:r w:rsidRPr="0025051F">
        <w:rPr>
          <w:lang w:val="ru-RU"/>
        </w:rPr>
        <w:t xml:space="preserve"> </w:t>
      </w:r>
      <w:r>
        <w:rPr>
          <w:lang w:val="ru-RU"/>
        </w:rPr>
        <w:t>к</w:t>
      </w:r>
      <w:r w:rsidRPr="0025051F">
        <w:rPr>
          <w:lang w:val="ru-RU"/>
        </w:rPr>
        <w:t xml:space="preserve"> </w:t>
      </w:r>
      <w:r>
        <w:rPr>
          <w:lang w:val="ru-RU"/>
        </w:rPr>
        <w:t>прекращению</w:t>
      </w:r>
      <w:r w:rsidRPr="0025051F">
        <w:rPr>
          <w:lang w:val="ru-RU"/>
        </w:rPr>
        <w:t xml:space="preserve"> </w:t>
      </w:r>
      <w:r>
        <w:rPr>
          <w:lang w:val="ru-RU"/>
        </w:rPr>
        <w:t>признания</w:t>
      </w:r>
      <w:r w:rsidRPr="0025051F">
        <w:rPr>
          <w:lang w:val="ru-RU"/>
        </w:rPr>
        <w:t xml:space="preserve"> </w:t>
      </w:r>
      <w:r>
        <w:rPr>
          <w:lang w:val="ru-RU"/>
        </w:rPr>
        <w:t>немонетарного</w:t>
      </w:r>
      <w:r w:rsidRPr="0025051F">
        <w:rPr>
          <w:lang w:val="ru-RU"/>
        </w:rPr>
        <w:t xml:space="preserve"> </w:t>
      </w:r>
      <w:r>
        <w:rPr>
          <w:lang w:val="ru-RU"/>
        </w:rPr>
        <w:t>актива</w:t>
      </w:r>
      <w:r w:rsidRPr="0025051F">
        <w:rPr>
          <w:lang w:val="ru-RU"/>
        </w:rPr>
        <w:t xml:space="preserve"> </w:t>
      </w:r>
      <w:r>
        <w:rPr>
          <w:lang w:val="ru-RU"/>
        </w:rPr>
        <w:t>или</w:t>
      </w:r>
      <w:r w:rsidRPr="0025051F">
        <w:rPr>
          <w:lang w:val="ru-RU"/>
        </w:rPr>
        <w:t xml:space="preserve"> </w:t>
      </w:r>
      <w:r>
        <w:rPr>
          <w:lang w:val="ru-RU"/>
        </w:rPr>
        <w:t>немонетарного</w:t>
      </w:r>
      <w:r w:rsidRPr="0025051F">
        <w:rPr>
          <w:lang w:val="ru-RU"/>
        </w:rPr>
        <w:t xml:space="preserve"> </w:t>
      </w:r>
      <w:r>
        <w:rPr>
          <w:lang w:val="ru-RU"/>
        </w:rPr>
        <w:t>обязательства</w:t>
      </w:r>
      <w:r w:rsidRPr="0025051F">
        <w:rPr>
          <w:lang w:val="ru-RU"/>
        </w:rPr>
        <w:t xml:space="preserve">, </w:t>
      </w:r>
      <w:r>
        <w:rPr>
          <w:lang w:val="ru-RU"/>
        </w:rPr>
        <w:t xml:space="preserve">возникшего в </w:t>
      </w:r>
      <w:r w:rsidRPr="003C35C5">
        <w:rPr>
          <w:lang w:val="ru-RU"/>
        </w:rPr>
        <w:t>результате пред</w:t>
      </w:r>
      <w:r>
        <w:rPr>
          <w:lang w:val="ru-RU"/>
        </w:rPr>
        <w:t>варительной оплаты</w:t>
      </w:r>
      <w:r w:rsidRPr="003C35C5">
        <w:rPr>
          <w:lang w:val="ru-RU"/>
        </w:rPr>
        <w:t>.</w:t>
      </w:r>
      <w:bookmarkEnd w:id="7"/>
    </w:p>
    <w:p w:rsidR="00E45AF1" w:rsidRPr="007A642D" w:rsidRDefault="00E45AF1" w:rsidP="00E45AF1">
      <w:pPr>
        <w:pStyle w:val="IASBNormalnpara"/>
        <w:rPr>
          <w:lang w:val="ru-RU"/>
        </w:rPr>
      </w:pPr>
      <w:r w:rsidRPr="00E45AF1">
        <w:rPr>
          <w:lang w:val="ru-RU"/>
        </w:rPr>
        <w:t>3</w:t>
      </w:r>
      <w:proofErr w:type="gramStart"/>
      <w:r w:rsidRPr="00E45AF1">
        <w:rPr>
          <w:lang w:val="ru-RU"/>
        </w:rPr>
        <w:tab/>
      </w:r>
      <w:bookmarkStart w:id="8" w:name="F52431590"/>
      <w:r>
        <w:rPr>
          <w:lang w:val="ru-RU"/>
        </w:rPr>
        <w:t>В</w:t>
      </w:r>
      <w:proofErr w:type="gramEnd"/>
      <w:r>
        <w:rPr>
          <w:lang w:val="ru-RU"/>
        </w:rPr>
        <w:t xml:space="preserve"> Комитет по разъяснениям международной финансовой отчетности </w:t>
      </w:r>
      <w:r w:rsidRPr="00E45AF1">
        <w:rPr>
          <w:lang w:val="ru-RU"/>
        </w:rPr>
        <w:t>(</w:t>
      </w:r>
      <w:r>
        <w:rPr>
          <w:lang w:val="ru-RU"/>
        </w:rPr>
        <w:t>КРМФО</w:t>
      </w:r>
      <w:r w:rsidRPr="00E45AF1">
        <w:rPr>
          <w:lang w:val="ru-RU"/>
        </w:rPr>
        <w:t xml:space="preserve">) </w:t>
      </w:r>
      <w:r>
        <w:rPr>
          <w:lang w:val="ru-RU"/>
        </w:rPr>
        <w:t xml:space="preserve">первоначально поступил вопрос об определении «даты операции» с применением пунктов </w:t>
      </w:r>
      <w:r w:rsidRPr="00E45AF1">
        <w:rPr>
          <w:lang w:val="ru-RU"/>
        </w:rPr>
        <w:t xml:space="preserve">21–22 </w:t>
      </w:r>
      <w:r>
        <w:rPr>
          <w:lang w:val="ru-RU"/>
        </w:rPr>
        <w:t>МСФО (IAS) 21 при признании выручки</w:t>
      </w:r>
      <w:r w:rsidRPr="00E45AF1">
        <w:rPr>
          <w:lang w:val="ru-RU"/>
        </w:rPr>
        <w:t xml:space="preserve">. </w:t>
      </w:r>
      <w:r>
        <w:rPr>
          <w:lang w:val="ru-RU"/>
        </w:rPr>
        <w:t>В</w:t>
      </w:r>
      <w:r w:rsidRPr="0025051F">
        <w:rPr>
          <w:lang w:val="ru-RU"/>
        </w:rPr>
        <w:t xml:space="preserve"> </w:t>
      </w:r>
      <w:r>
        <w:rPr>
          <w:lang w:val="ru-RU"/>
        </w:rPr>
        <w:t>частности</w:t>
      </w:r>
      <w:r w:rsidRPr="0025051F">
        <w:rPr>
          <w:lang w:val="ru-RU"/>
        </w:rPr>
        <w:t xml:space="preserve">, </w:t>
      </w:r>
      <w:r w:rsidRPr="003C35C5">
        <w:rPr>
          <w:lang w:val="ru-RU"/>
        </w:rPr>
        <w:t>вопрос был сформулирован в контексте обстоятельств</w:t>
      </w:r>
      <w:r w:rsidRPr="0025051F">
        <w:rPr>
          <w:lang w:val="ru-RU"/>
        </w:rPr>
        <w:t xml:space="preserve">, </w:t>
      </w:r>
      <w:r>
        <w:rPr>
          <w:lang w:val="ru-RU"/>
        </w:rPr>
        <w:t>при</w:t>
      </w:r>
      <w:r w:rsidRPr="0025051F">
        <w:rPr>
          <w:lang w:val="ru-RU"/>
        </w:rPr>
        <w:t xml:space="preserve"> </w:t>
      </w:r>
      <w:r>
        <w:rPr>
          <w:lang w:val="ru-RU"/>
        </w:rPr>
        <w:t>которых</w:t>
      </w:r>
      <w:r w:rsidRPr="0025051F">
        <w:rPr>
          <w:lang w:val="ru-RU"/>
        </w:rPr>
        <w:t xml:space="preserve"> </w:t>
      </w:r>
      <w:r>
        <w:rPr>
          <w:lang w:val="ru-RU"/>
        </w:rPr>
        <w:t>организация</w:t>
      </w:r>
      <w:r w:rsidRPr="0025051F">
        <w:rPr>
          <w:lang w:val="ru-RU"/>
        </w:rPr>
        <w:t xml:space="preserve"> </w:t>
      </w:r>
      <w:r>
        <w:rPr>
          <w:lang w:val="ru-RU"/>
        </w:rPr>
        <w:t>признает</w:t>
      </w:r>
      <w:r w:rsidRPr="0025051F">
        <w:rPr>
          <w:lang w:val="ru-RU"/>
        </w:rPr>
        <w:t xml:space="preserve"> </w:t>
      </w:r>
      <w:r>
        <w:rPr>
          <w:lang w:val="ru-RU"/>
        </w:rPr>
        <w:t>немонетарное</w:t>
      </w:r>
      <w:r w:rsidRPr="0025051F">
        <w:rPr>
          <w:lang w:val="ru-RU"/>
        </w:rPr>
        <w:t xml:space="preserve"> </w:t>
      </w:r>
      <w:r>
        <w:rPr>
          <w:lang w:val="ru-RU"/>
        </w:rPr>
        <w:t>обязательство</w:t>
      </w:r>
      <w:r w:rsidRPr="0025051F">
        <w:rPr>
          <w:lang w:val="ru-RU"/>
        </w:rPr>
        <w:t xml:space="preserve">, </w:t>
      </w:r>
      <w:r w:rsidRPr="003C35C5">
        <w:rPr>
          <w:lang w:val="ru-RU"/>
        </w:rPr>
        <w:t>возникшее в результате</w:t>
      </w:r>
      <w:r w:rsidRPr="003C35C5">
        <w:rPr>
          <w:szCs w:val="19"/>
          <w:lang w:val="ru-RU"/>
        </w:rPr>
        <w:t xml:space="preserve"> </w:t>
      </w:r>
      <w:r>
        <w:rPr>
          <w:lang w:val="ru-RU"/>
        </w:rPr>
        <w:t>получения</w:t>
      </w:r>
      <w:r w:rsidRPr="0025051F">
        <w:rPr>
          <w:lang w:val="ru-RU"/>
        </w:rPr>
        <w:t xml:space="preserve"> </w:t>
      </w:r>
      <w:r>
        <w:rPr>
          <w:lang w:val="ru-RU"/>
        </w:rPr>
        <w:t>предварительной оплаты</w:t>
      </w:r>
      <w:r w:rsidRPr="0025051F">
        <w:rPr>
          <w:lang w:val="ru-RU"/>
        </w:rPr>
        <w:t xml:space="preserve">, </w:t>
      </w:r>
      <w:r>
        <w:rPr>
          <w:lang w:val="ru-RU"/>
        </w:rPr>
        <w:t>до</w:t>
      </w:r>
      <w:r w:rsidRPr="0025051F">
        <w:rPr>
          <w:lang w:val="ru-RU"/>
        </w:rPr>
        <w:t xml:space="preserve"> </w:t>
      </w:r>
      <w:r>
        <w:rPr>
          <w:lang w:val="ru-RU"/>
        </w:rPr>
        <w:t>признания</w:t>
      </w:r>
      <w:r w:rsidRPr="0025051F">
        <w:rPr>
          <w:lang w:val="ru-RU"/>
        </w:rPr>
        <w:t xml:space="preserve"> </w:t>
      </w:r>
      <w:r>
        <w:rPr>
          <w:lang w:val="ru-RU"/>
        </w:rPr>
        <w:t>соответствующей выручки. Рассматривая данный вопрос, КРМФО отметил, что получение или совершение предварительной оплаты в иностранной валюте не ограничивается операциями с признанием выручки. Соответственно</w:t>
      </w:r>
      <w:r w:rsidRPr="007A642D">
        <w:rPr>
          <w:lang w:val="ru-RU"/>
        </w:rPr>
        <w:t xml:space="preserve">, </w:t>
      </w:r>
      <w:r>
        <w:rPr>
          <w:lang w:val="ru-RU"/>
        </w:rPr>
        <w:t xml:space="preserve">КРМФО решил </w:t>
      </w:r>
      <w:r w:rsidRPr="003C35C5">
        <w:rPr>
          <w:lang w:val="ru-RU"/>
        </w:rPr>
        <w:t>уточнить понятие</w:t>
      </w:r>
      <w:r w:rsidRPr="003C35C5">
        <w:rPr>
          <w:szCs w:val="19"/>
          <w:lang w:val="ru-RU"/>
        </w:rPr>
        <w:t xml:space="preserve"> «</w:t>
      </w:r>
      <w:r>
        <w:rPr>
          <w:lang w:val="ru-RU"/>
        </w:rPr>
        <w:t>дата операции» для целей определения обменного курса, который необходимо использовать при первоначальном признании соответствующего актива, расхода или дохода, когда организация уже получила или совершила предварительную оплату в иностранной валюте</w:t>
      </w:r>
      <w:r w:rsidRPr="007A642D">
        <w:rPr>
          <w:lang w:val="ru-RU"/>
        </w:rPr>
        <w:t>.</w:t>
      </w:r>
      <w:bookmarkEnd w:id="8"/>
    </w:p>
    <w:p w:rsidR="00E45AF1" w:rsidRPr="00EC347F" w:rsidRDefault="00E45AF1" w:rsidP="00E45AF1">
      <w:pPr>
        <w:pStyle w:val="IASBSectionTitle1NonInd"/>
        <w:rPr>
          <w:lang w:val="ru-RU"/>
        </w:rPr>
      </w:pPr>
      <w:r>
        <w:rPr>
          <w:lang w:val="ru-RU"/>
        </w:rPr>
        <w:lastRenderedPageBreak/>
        <w:t>Сфера применения</w:t>
      </w:r>
    </w:p>
    <w:p w:rsidR="00E45AF1" w:rsidRPr="00E45AF1" w:rsidRDefault="00E45AF1" w:rsidP="00E45AF1">
      <w:pPr>
        <w:pStyle w:val="IASBNormalnpara"/>
        <w:rPr>
          <w:lang w:val="ru-RU"/>
        </w:rPr>
      </w:pPr>
      <w:r w:rsidRPr="00E45AF1">
        <w:rPr>
          <w:lang w:val="ru-RU"/>
        </w:rPr>
        <w:t>4</w:t>
      </w:r>
      <w:r w:rsidRPr="00E45AF1">
        <w:rPr>
          <w:lang w:val="ru-RU"/>
        </w:rPr>
        <w:tab/>
      </w:r>
      <w:bookmarkStart w:id="9" w:name="F52431593"/>
      <w:r>
        <w:rPr>
          <w:lang w:val="ru-RU"/>
        </w:rPr>
        <w:t xml:space="preserve">Настоящее разъяснение имеет отношение к операции в иностранной валюте (или к части такой операции), когда организация признает немонетарный актив или немонетарное обязательство, </w:t>
      </w:r>
      <w:r w:rsidRPr="00E45AF1">
        <w:rPr>
          <w:szCs w:val="19"/>
          <w:lang w:val="ru-RU"/>
        </w:rPr>
        <w:t xml:space="preserve">возникающие в результате </w:t>
      </w:r>
      <w:r>
        <w:rPr>
          <w:lang w:val="ru-RU"/>
        </w:rPr>
        <w:t xml:space="preserve">совершения или получения предварительной оплаты до </w:t>
      </w:r>
      <w:r w:rsidRPr="00930046">
        <w:rPr>
          <w:lang w:val="ru-RU"/>
        </w:rPr>
        <w:t xml:space="preserve">момента </w:t>
      </w:r>
      <w:proofErr w:type="gramStart"/>
      <w:r w:rsidRPr="00930046">
        <w:rPr>
          <w:lang w:val="ru-RU"/>
        </w:rPr>
        <w:t>признания</w:t>
      </w:r>
      <w:proofErr w:type="gramEnd"/>
      <w:r w:rsidRPr="00E45AF1">
        <w:rPr>
          <w:szCs w:val="19"/>
          <w:lang w:val="ru-RU"/>
        </w:rPr>
        <w:t xml:space="preserve"> относящегося к не</w:t>
      </w:r>
      <w:r>
        <w:rPr>
          <w:szCs w:val="19"/>
          <w:lang w:val="ru-RU"/>
        </w:rPr>
        <w:t>й</w:t>
      </w:r>
      <w:r w:rsidRPr="00E45AF1">
        <w:rPr>
          <w:szCs w:val="19"/>
          <w:lang w:val="ru-RU"/>
        </w:rPr>
        <w:t xml:space="preserve"> </w:t>
      </w:r>
      <w:r>
        <w:rPr>
          <w:lang w:val="ru-RU"/>
        </w:rPr>
        <w:t>актива, расхода или дохода (или его части)</w:t>
      </w:r>
      <w:r w:rsidRPr="00E45AF1">
        <w:rPr>
          <w:lang w:val="ru-RU"/>
        </w:rPr>
        <w:t>.</w:t>
      </w:r>
      <w:bookmarkEnd w:id="9"/>
    </w:p>
    <w:p w:rsidR="00E45AF1" w:rsidRPr="00E45AF1" w:rsidRDefault="00E45AF1" w:rsidP="00E45AF1">
      <w:pPr>
        <w:pStyle w:val="IASBNormalnpara"/>
        <w:rPr>
          <w:lang w:val="ru-RU"/>
        </w:rPr>
      </w:pPr>
      <w:r w:rsidRPr="00E45AF1">
        <w:rPr>
          <w:lang w:val="ru-RU"/>
        </w:rPr>
        <w:t>5</w:t>
      </w:r>
      <w:r w:rsidRPr="00E45AF1">
        <w:rPr>
          <w:lang w:val="ru-RU"/>
        </w:rPr>
        <w:tab/>
      </w:r>
      <w:bookmarkStart w:id="10" w:name="F52431594"/>
      <w:r>
        <w:rPr>
          <w:lang w:val="ru-RU"/>
        </w:rPr>
        <w:t xml:space="preserve">Настоящее разъяснение не применяется </w:t>
      </w:r>
      <w:r w:rsidRPr="00E45AF1">
        <w:rPr>
          <w:szCs w:val="19"/>
          <w:lang w:val="ru-RU"/>
        </w:rPr>
        <w:t>в случае оценки организацией</w:t>
      </w:r>
      <w:r>
        <w:rPr>
          <w:szCs w:val="19"/>
          <w:lang w:val="ru-RU"/>
        </w:rPr>
        <w:t xml:space="preserve"> </w:t>
      </w:r>
      <w:r>
        <w:rPr>
          <w:lang w:val="ru-RU"/>
        </w:rPr>
        <w:t>соответствующего актива, расхода или дохода при первоначальном признании</w:t>
      </w:r>
      <w:r w:rsidRPr="00E45AF1">
        <w:rPr>
          <w:lang w:val="ru-RU"/>
        </w:rPr>
        <w:t>:</w:t>
      </w:r>
      <w:bookmarkEnd w:id="10"/>
    </w:p>
    <w:p w:rsidR="00E45AF1" w:rsidRPr="00E45AF1" w:rsidRDefault="00E45AF1" w:rsidP="00E45AF1">
      <w:pPr>
        <w:pStyle w:val="IASBNormalnparaL1"/>
        <w:rPr>
          <w:lang w:val="ru-RU"/>
        </w:rPr>
      </w:pPr>
      <w:r w:rsidRPr="00E45AF1">
        <w:rPr>
          <w:lang w:val="ru-RU"/>
        </w:rPr>
        <w:t>(</w:t>
      </w:r>
      <w:r w:rsidRPr="008E389D">
        <w:rPr>
          <w:lang w:val="en-GB"/>
        </w:rPr>
        <w:t>a</w:t>
      </w:r>
      <w:r w:rsidRPr="00E45AF1">
        <w:rPr>
          <w:lang w:val="ru-RU"/>
        </w:rPr>
        <w:t>)</w:t>
      </w:r>
      <w:r w:rsidRPr="00E45AF1">
        <w:rPr>
          <w:lang w:val="ru-RU"/>
        </w:rPr>
        <w:tab/>
      </w:r>
      <w:bookmarkStart w:id="11" w:name="F52431597"/>
      <w:r>
        <w:rPr>
          <w:lang w:val="ru-RU"/>
        </w:rPr>
        <w:t>по справедливой стоимости</w:t>
      </w:r>
      <w:r w:rsidRPr="00E45AF1">
        <w:rPr>
          <w:lang w:val="ru-RU"/>
        </w:rPr>
        <w:t xml:space="preserve">; </w:t>
      </w:r>
      <w:r>
        <w:rPr>
          <w:lang w:val="ru-RU"/>
        </w:rPr>
        <w:t>либо</w:t>
      </w:r>
      <w:bookmarkEnd w:id="11"/>
    </w:p>
    <w:p w:rsidR="00E45AF1" w:rsidRPr="00E45AF1" w:rsidRDefault="00E45AF1" w:rsidP="00E45AF1">
      <w:pPr>
        <w:pStyle w:val="IASBNormalnparaL1"/>
        <w:rPr>
          <w:lang w:val="ru-RU"/>
        </w:rPr>
      </w:pPr>
      <w:r w:rsidRPr="00E45AF1">
        <w:rPr>
          <w:lang w:val="ru-RU"/>
        </w:rPr>
        <w:t>(</w:t>
      </w:r>
      <w:r w:rsidRPr="008E389D">
        <w:rPr>
          <w:lang w:val="en-GB"/>
        </w:rPr>
        <w:t>b</w:t>
      </w:r>
      <w:r w:rsidRPr="00E45AF1">
        <w:rPr>
          <w:lang w:val="ru-RU"/>
        </w:rPr>
        <w:t>)</w:t>
      </w:r>
      <w:r w:rsidRPr="00E45AF1">
        <w:rPr>
          <w:lang w:val="ru-RU"/>
        </w:rPr>
        <w:tab/>
      </w:r>
      <w:bookmarkStart w:id="12" w:name="F52431599"/>
      <w:r>
        <w:rPr>
          <w:lang w:val="ru-RU"/>
        </w:rPr>
        <w:t xml:space="preserve">по справедливой стоимости возмещения, уплаченного или полученного на дату, отличную от даты первоначального признания немонетарного актива или немонетарного обязательства, </w:t>
      </w:r>
      <w:r w:rsidRPr="00930046">
        <w:rPr>
          <w:lang w:val="ru-RU"/>
        </w:rPr>
        <w:t>возникающих в результате</w:t>
      </w:r>
      <w:r w:rsidDel="001B2199">
        <w:rPr>
          <w:lang w:val="ru-RU"/>
        </w:rPr>
        <w:t xml:space="preserve"> </w:t>
      </w:r>
      <w:r>
        <w:rPr>
          <w:lang w:val="ru-RU"/>
        </w:rPr>
        <w:t xml:space="preserve">предварительной оплаты </w:t>
      </w:r>
      <w:r w:rsidRPr="00E45AF1">
        <w:rPr>
          <w:lang w:val="ru-RU"/>
        </w:rPr>
        <w:t>(</w:t>
      </w:r>
      <w:r>
        <w:rPr>
          <w:lang w:val="ru-RU"/>
        </w:rPr>
        <w:t xml:space="preserve">например, оценка </w:t>
      </w:r>
      <w:r w:rsidR="00661916">
        <w:rPr>
          <w:lang w:val="ru-RU"/>
        </w:rPr>
        <w:t>гудвил</w:t>
      </w:r>
      <w:r w:rsidR="004853DE">
        <w:rPr>
          <w:lang w:val="ru-RU"/>
        </w:rPr>
        <w:t>а</w:t>
      </w:r>
      <w:r>
        <w:rPr>
          <w:lang w:val="ru-RU"/>
        </w:rPr>
        <w:t xml:space="preserve"> с применением МСФО (IFRS) </w:t>
      </w:r>
      <w:r w:rsidRPr="00E45AF1">
        <w:rPr>
          <w:lang w:val="ru-RU"/>
        </w:rPr>
        <w:t>3</w:t>
      </w:r>
      <w:r>
        <w:rPr>
          <w:lang w:val="ru-RU"/>
        </w:rPr>
        <w:t xml:space="preserve"> </w:t>
      </w:r>
      <w:r>
        <w:rPr>
          <w:i/>
          <w:lang w:val="ru-RU"/>
        </w:rPr>
        <w:t>«Объединения бизнесов»</w:t>
      </w:r>
      <w:r w:rsidRPr="00E45AF1">
        <w:rPr>
          <w:lang w:val="ru-RU"/>
        </w:rPr>
        <w:t>).</w:t>
      </w:r>
      <w:bookmarkEnd w:id="12"/>
    </w:p>
    <w:p w:rsidR="00E45AF1" w:rsidRPr="00E45AF1" w:rsidRDefault="00E45AF1" w:rsidP="00E45AF1">
      <w:pPr>
        <w:pStyle w:val="IASBNormalnpara"/>
        <w:rPr>
          <w:lang w:val="ru-RU"/>
        </w:rPr>
      </w:pPr>
      <w:r w:rsidRPr="00E45AF1">
        <w:rPr>
          <w:lang w:val="ru-RU"/>
        </w:rPr>
        <w:t>6</w:t>
      </w:r>
      <w:r w:rsidRPr="00E45AF1">
        <w:rPr>
          <w:lang w:val="ru-RU"/>
        </w:rPr>
        <w:tab/>
      </w:r>
      <w:bookmarkStart w:id="13" w:name="F52431601"/>
      <w:r>
        <w:rPr>
          <w:lang w:val="ru-RU"/>
        </w:rPr>
        <w:t>Организация не обязана применять настоящее разъяснение в отношении</w:t>
      </w:r>
      <w:r w:rsidRPr="00E45AF1">
        <w:rPr>
          <w:lang w:val="ru-RU"/>
        </w:rPr>
        <w:t>:</w:t>
      </w:r>
      <w:bookmarkEnd w:id="13"/>
    </w:p>
    <w:p w:rsidR="00E45AF1" w:rsidRPr="00E45AF1" w:rsidRDefault="00E45AF1" w:rsidP="00E45AF1">
      <w:pPr>
        <w:pStyle w:val="IASBNormalnparaL1"/>
        <w:rPr>
          <w:lang w:val="ru-RU"/>
        </w:rPr>
      </w:pPr>
      <w:r w:rsidRPr="00E45AF1">
        <w:rPr>
          <w:lang w:val="ru-RU"/>
        </w:rPr>
        <w:t>(</w:t>
      </w:r>
      <w:r w:rsidRPr="008E389D">
        <w:rPr>
          <w:lang w:val="en-GB"/>
        </w:rPr>
        <w:t>a</w:t>
      </w:r>
      <w:r w:rsidRPr="00E45AF1">
        <w:rPr>
          <w:lang w:val="ru-RU"/>
        </w:rPr>
        <w:t>)</w:t>
      </w:r>
      <w:r w:rsidRPr="00E45AF1">
        <w:rPr>
          <w:lang w:val="ru-RU"/>
        </w:rPr>
        <w:tab/>
      </w:r>
      <w:bookmarkStart w:id="14" w:name="F52431604"/>
      <w:r>
        <w:rPr>
          <w:lang w:val="ru-RU"/>
        </w:rPr>
        <w:t>налогов на прибыль</w:t>
      </w:r>
      <w:r w:rsidRPr="00E45AF1">
        <w:rPr>
          <w:lang w:val="ru-RU"/>
        </w:rPr>
        <w:t xml:space="preserve">; </w:t>
      </w:r>
      <w:r>
        <w:rPr>
          <w:lang w:val="ru-RU"/>
        </w:rPr>
        <w:t>либо</w:t>
      </w:r>
      <w:bookmarkEnd w:id="14"/>
    </w:p>
    <w:p w:rsidR="00E45AF1" w:rsidRPr="00E45AF1" w:rsidRDefault="00E45AF1" w:rsidP="00E45AF1">
      <w:pPr>
        <w:pStyle w:val="IASBNormalnparaL1"/>
        <w:rPr>
          <w:lang w:val="ru-RU"/>
        </w:rPr>
      </w:pPr>
      <w:r w:rsidRPr="00E45AF1">
        <w:rPr>
          <w:lang w:val="ru-RU"/>
        </w:rPr>
        <w:t>(</w:t>
      </w:r>
      <w:r w:rsidRPr="008E389D">
        <w:rPr>
          <w:lang w:val="en-GB"/>
        </w:rPr>
        <w:t>b</w:t>
      </w:r>
      <w:r w:rsidRPr="00E45AF1">
        <w:rPr>
          <w:lang w:val="ru-RU"/>
        </w:rPr>
        <w:t>)</w:t>
      </w:r>
      <w:r w:rsidRPr="00E45AF1">
        <w:rPr>
          <w:lang w:val="ru-RU"/>
        </w:rPr>
        <w:tab/>
      </w:r>
      <w:bookmarkStart w:id="15" w:name="F52431606"/>
      <w:r>
        <w:rPr>
          <w:lang w:val="ru-RU"/>
        </w:rPr>
        <w:t>договоров страхования</w:t>
      </w:r>
      <w:r w:rsidRPr="00E45AF1">
        <w:rPr>
          <w:lang w:val="ru-RU"/>
        </w:rPr>
        <w:t xml:space="preserve"> (</w:t>
      </w:r>
      <w:r>
        <w:rPr>
          <w:lang w:val="ru-RU"/>
        </w:rPr>
        <w:t>включая договоры перестрахования</w:t>
      </w:r>
      <w:r w:rsidRPr="00E45AF1">
        <w:rPr>
          <w:lang w:val="ru-RU"/>
        </w:rPr>
        <w:t>)</w:t>
      </w:r>
      <w:r>
        <w:rPr>
          <w:lang w:val="ru-RU"/>
        </w:rPr>
        <w:t>, которые она выпускает, или договоров перестрахования, которыми она располагает</w:t>
      </w:r>
      <w:r w:rsidRPr="00E45AF1">
        <w:rPr>
          <w:lang w:val="ru-RU"/>
        </w:rPr>
        <w:t>.</w:t>
      </w:r>
      <w:bookmarkEnd w:id="15"/>
    </w:p>
    <w:p w:rsidR="00E45AF1" w:rsidRPr="00E66A5C" w:rsidRDefault="00E45AF1" w:rsidP="00E45AF1">
      <w:pPr>
        <w:pStyle w:val="IASBSectionTitle1NonInd"/>
        <w:rPr>
          <w:lang w:val="ru-RU"/>
        </w:rPr>
      </w:pPr>
      <w:r>
        <w:rPr>
          <w:lang w:val="ru-RU"/>
        </w:rPr>
        <w:t>Вопрос</w:t>
      </w:r>
    </w:p>
    <w:p w:rsidR="00E45AF1" w:rsidRPr="00E45AF1" w:rsidRDefault="00E45AF1" w:rsidP="00E45AF1">
      <w:pPr>
        <w:pStyle w:val="IASBNormalnpara"/>
        <w:rPr>
          <w:lang w:val="ru-RU"/>
        </w:rPr>
      </w:pPr>
      <w:r w:rsidRPr="00E45AF1">
        <w:rPr>
          <w:lang w:val="ru-RU"/>
        </w:rPr>
        <w:t>7</w:t>
      </w:r>
      <w:proofErr w:type="gramStart"/>
      <w:r w:rsidRPr="00E45AF1">
        <w:rPr>
          <w:lang w:val="ru-RU"/>
        </w:rPr>
        <w:tab/>
      </w:r>
      <w:bookmarkStart w:id="16" w:name="F52431609"/>
      <w:r>
        <w:rPr>
          <w:lang w:val="ru-RU"/>
        </w:rPr>
        <w:t>В</w:t>
      </w:r>
      <w:proofErr w:type="gramEnd"/>
      <w:r>
        <w:rPr>
          <w:lang w:val="ru-RU"/>
        </w:rPr>
        <w:t xml:space="preserve"> настоящем разъяснении рассматривается определение даты операции для целей определения обменного курса, который должен использоваться при первоначальном признании соответствующего актива, расхода или дохода (или его части) при прекращении признания немонетарного актива или немонетарного обязательства, </w:t>
      </w:r>
      <w:r w:rsidRPr="00930046">
        <w:rPr>
          <w:lang w:val="ru-RU"/>
        </w:rPr>
        <w:t>возникающих в результате</w:t>
      </w:r>
      <w:r w:rsidDel="00123C42">
        <w:rPr>
          <w:lang w:val="ru-RU"/>
        </w:rPr>
        <w:t xml:space="preserve"> </w:t>
      </w:r>
      <w:r>
        <w:rPr>
          <w:lang w:val="ru-RU"/>
        </w:rPr>
        <w:t>совершения или получения предварительной оплаты в иностранной валюте</w:t>
      </w:r>
      <w:r w:rsidRPr="00E45AF1">
        <w:rPr>
          <w:lang w:val="ru-RU"/>
        </w:rPr>
        <w:t>.</w:t>
      </w:r>
      <w:bookmarkEnd w:id="16"/>
    </w:p>
    <w:p w:rsidR="00E45AF1" w:rsidRPr="00E66A5C" w:rsidRDefault="00E45AF1" w:rsidP="00E45AF1">
      <w:pPr>
        <w:pStyle w:val="IASBSectionTitle1NonInd"/>
        <w:rPr>
          <w:lang w:val="ru-RU"/>
        </w:rPr>
      </w:pPr>
      <w:r>
        <w:rPr>
          <w:lang w:val="ru-RU"/>
        </w:rPr>
        <w:t>Консенсус</w:t>
      </w:r>
    </w:p>
    <w:p w:rsidR="00E45AF1" w:rsidRPr="00E45AF1" w:rsidRDefault="00E45AF1" w:rsidP="00E45AF1">
      <w:pPr>
        <w:pStyle w:val="IASBNormalnpara"/>
        <w:rPr>
          <w:lang w:val="ru-RU"/>
        </w:rPr>
      </w:pPr>
      <w:r w:rsidRPr="00E45AF1">
        <w:rPr>
          <w:lang w:val="ru-RU"/>
        </w:rPr>
        <w:t>8</w:t>
      </w:r>
      <w:proofErr w:type="gramStart"/>
      <w:r w:rsidRPr="00E45AF1">
        <w:rPr>
          <w:lang w:val="ru-RU"/>
        </w:rPr>
        <w:tab/>
      </w:r>
      <w:bookmarkStart w:id="17" w:name="F52431612"/>
      <w:r>
        <w:rPr>
          <w:lang w:val="ru-RU"/>
        </w:rPr>
        <w:t>В</w:t>
      </w:r>
      <w:proofErr w:type="gramEnd"/>
      <w:r>
        <w:rPr>
          <w:lang w:val="ru-RU"/>
        </w:rPr>
        <w:t xml:space="preserve"> рамках применения пунктов</w:t>
      </w:r>
      <w:r w:rsidRPr="00E45AF1">
        <w:rPr>
          <w:lang w:val="ru-RU"/>
        </w:rPr>
        <w:t xml:space="preserve"> 21–22 </w:t>
      </w:r>
      <w:r>
        <w:rPr>
          <w:lang w:val="ru-RU"/>
        </w:rPr>
        <w:t xml:space="preserve">МСФО (IAS) 21 датой операции для целей определения обменного курса, который должен использоваться при первоначальном признании соответствующего актива, расхода или дохода (или его части), является дата, на которую организация первоначально признает немонетарный актив или немонетарное обязательство, </w:t>
      </w:r>
      <w:r w:rsidRPr="00E45AF1">
        <w:rPr>
          <w:szCs w:val="19"/>
          <w:lang w:val="ru-RU"/>
        </w:rPr>
        <w:t xml:space="preserve">возникающие в результате </w:t>
      </w:r>
      <w:r>
        <w:rPr>
          <w:lang w:val="ru-RU"/>
        </w:rPr>
        <w:t>совершения или получения предварительной оплаты</w:t>
      </w:r>
      <w:r w:rsidRPr="00E45AF1">
        <w:rPr>
          <w:lang w:val="ru-RU"/>
        </w:rPr>
        <w:t>.</w:t>
      </w:r>
      <w:bookmarkEnd w:id="17"/>
    </w:p>
    <w:p w:rsidR="00E45AF1" w:rsidRPr="00FD2BD6" w:rsidRDefault="00E45AF1" w:rsidP="00E45AF1">
      <w:pPr>
        <w:pStyle w:val="IASBNormalnpara"/>
        <w:rPr>
          <w:lang w:val="ru-RU"/>
        </w:rPr>
      </w:pPr>
      <w:r w:rsidRPr="00E45AF1">
        <w:rPr>
          <w:lang w:val="ru-RU"/>
        </w:rPr>
        <w:t>9</w:t>
      </w:r>
      <w:proofErr w:type="gramStart"/>
      <w:r w:rsidRPr="00E45AF1">
        <w:rPr>
          <w:lang w:val="ru-RU"/>
        </w:rPr>
        <w:tab/>
      </w:r>
      <w:bookmarkStart w:id="18" w:name="F52431613"/>
      <w:r>
        <w:rPr>
          <w:lang w:val="ru-RU"/>
        </w:rPr>
        <w:t>В</w:t>
      </w:r>
      <w:proofErr w:type="gramEnd"/>
      <w:r>
        <w:rPr>
          <w:lang w:val="ru-RU"/>
        </w:rPr>
        <w:t xml:space="preserve"> случае нескольких операций</w:t>
      </w:r>
      <w:r w:rsidRPr="005A1C20">
        <w:rPr>
          <w:lang w:val="ru-RU"/>
        </w:rPr>
        <w:t xml:space="preserve"> </w:t>
      </w:r>
      <w:r>
        <w:rPr>
          <w:lang w:val="ru-RU"/>
        </w:rPr>
        <w:t>совершения или получения предварительной оплаты организация должна определять дату операции для каждой выплаты или получения предварительной оплаты</w:t>
      </w:r>
      <w:r w:rsidRPr="00E45AF1">
        <w:rPr>
          <w:lang w:val="ru-RU"/>
        </w:rPr>
        <w:t xml:space="preserve">. </w:t>
      </w:r>
      <w:bookmarkEnd w:id="18"/>
    </w:p>
    <w:p w:rsidR="00B934D5" w:rsidRPr="00FD2BD6" w:rsidRDefault="00B934D5" w:rsidP="00E45AF1">
      <w:pPr>
        <w:pStyle w:val="IASBNormalnpara"/>
        <w:rPr>
          <w:lang w:val="ru-RU"/>
        </w:rPr>
      </w:pPr>
    </w:p>
    <w:p w:rsidR="00B934D5" w:rsidRPr="00FD2BD6" w:rsidRDefault="00B934D5" w:rsidP="00E45AF1">
      <w:pPr>
        <w:pStyle w:val="IASBNormalnpara"/>
        <w:rPr>
          <w:lang w:val="ru-RU"/>
        </w:rPr>
      </w:pPr>
    </w:p>
    <w:p w:rsidR="00B934D5" w:rsidRPr="00FD2BD6" w:rsidRDefault="00B934D5" w:rsidP="00E45AF1">
      <w:pPr>
        <w:pStyle w:val="IASBNormalnpara"/>
        <w:rPr>
          <w:lang w:val="ru-RU"/>
        </w:rPr>
      </w:pPr>
    </w:p>
    <w:p w:rsidR="00B934D5" w:rsidRPr="00FD2BD6" w:rsidRDefault="00B934D5" w:rsidP="00E45AF1">
      <w:pPr>
        <w:pStyle w:val="IASBNormalnpara"/>
        <w:rPr>
          <w:lang w:val="ru-RU"/>
        </w:rPr>
      </w:pPr>
    </w:p>
    <w:p w:rsidR="00B934D5" w:rsidRDefault="00B934D5" w:rsidP="00E45AF1">
      <w:pPr>
        <w:pStyle w:val="IASBNormalnpara"/>
        <w:rPr>
          <w:lang w:val="ru-RU"/>
        </w:rPr>
      </w:pPr>
    </w:p>
    <w:p w:rsidR="00B934D5" w:rsidRDefault="00B934D5" w:rsidP="00E45AF1">
      <w:pPr>
        <w:pStyle w:val="IASBNormalnpara"/>
        <w:rPr>
          <w:lang w:val="ru-RU"/>
        </w:rPr>
      </w:pPr>
    </w:p>
    <w:p w:rsidR="00B934D5" w:rsidRDefault="00B934D5" w:rsidP="00E45AF1">
      <w:pPr>
        <w:pStyle w:val="IASBNormalnpara"/>
        <w:rPr>
          <w:lang w:val="ru-RU"/>
        </w:rPr>
      </w:pPr>
    </w:p>
    <w:p w:rsidR="00B934D5" w:rsidRDefault="00B934D5" w:rsidP="00E45AF1">
      <w:pPr>
        <w:pStyle w:val="IASBNormalnpara"/>
        <w:rPr>
          <w:lang w:val="ru-RU"/>
        </w:rPr>
      </w:pPr>
    </w:p>
    <w:p w:rsidR="00B934D5" w:rsidRDefault="00B934D5" w:rsidP="00E45AF1">
      <w:pPr>
        <w:pStyle w:val="IASBNormalnpara"/>
        <w:rPr>
          <w:lang w:val="ru-RU"/>
        </w:rPr>
      </w:pPr>
    </w:p>
    <w:p w:rsidR="00B934D5" w:rsidRDefault="00B934D5" w:rsidP="00E45AF1">
      <w:pPr>
        <w:pStyle w:val="IASBNormalnpara"/>
        <w:rPr>
          <w:lang w:val="ru-RU"/>
        </w:rPr>
      </w:pPr>
    </w:p>
    <w:p w:rsidR="00B934D5" w:rsidRDefault="00B934D5" w:rsidP="00E45AF1">
      <w:pPr>
        <w:pStyle w:val="IASBNormalnpara"/>
        <w:rPr>
          <w:lang w:val="ru-RU"/>
        </w:rPr>
      </w:pPr>
    </w:p>
    <w:p w:rsidR="00923E72" w:rsidRDefault="00923E72" w:rsidP="00E45AF1">
      <w:pPr>
        <w:pStyle w:val="IASBNormalnpara"/>
        <w:rPr>
          <w:lang w:val="ru-RU"/>
        </w:rPr>
      </w:pPr>
    </w:p>
    <w:p w:rsidR="00923E72" w:rsidRDefault="00923E72" w:rsidP="00E45AF1">
      <w:pPr>
        <w:pStyle w:val="IASBNormalnpara"/>
        <w:rPr>
          <w:lang w:val="ru-RU"/>
        </w:rPr>
      </w:pPr>
    </w:p>
    <w:p w:rsidR="00B934D5" w:rsidRDefault="00B934D5" w:rsidP="00E45AF1">
      <w:pPr>
        <w:pStyle w:val="IASBNormalnpara"/>
        <w:rPr>
          <w:lang w:val="ru-RU"/>
        </w:rPr>
      </w:pPr>
    </w:p>
    <w:p w:rsidR="00B934D5" w:rsidRDefault="00B934D5" w:rsidP="00E45AF1">
      <w:pPr>
        <w:pStyle w:val="IASBNormalnpara"/>
        <w:rPr>
          <w:lang w:val="ru-RU"/>
        </w:rPr>
      </w:pPr>
    </w:p>
    <w:p w:rsidR="00B934D5" w:rsidRPr="00E45AF1" w:rsidRDefault="00B934D5" w:rsidP="00B934D5">
      <w:pPr>
        <w:pStyle w:val="IASBSectionTitle1NonInd"/>
        <w:pBdr>
          <w:bottom w:val="none" w:sz="0" w:space="0" w:color="auto"/>
        </w:pBdr>
        <w:rPr>
          <w:lang w:val="ru-RU"/>
        </w:rPr>
      </w:pPr>
      <w:bookmarkStart w:id="19" w:name="F52431617"/>
      <w:r>
        <w:rPr>
          <w:lang w:val="ru-RU"/>
        </w:rPr>
        <w:lastRenderedPageBreak/>
        <w:t>Приложение</w:t>
      </w:r>
      <w:r w:rsidRPr="00E45AF1">
        <w:rPr>
          <w:lang w:val="ru-RU"/>
        </w:rPr>
        <w:t xml:space="preserve"> </w:t>
      </w:r>
      <w:r w:rsidRPr="008E389D">
        <w:rPr>
          <w:lang w:val="en-GB"/>
        </w:rPr>
        <w:t>A</w:t>
      </w:r>
      <w:r w:rsidRPr="00E45AF1">
        <w:rPr>
          <w:lang w:val="ru-RU"/>
        </w:rPr>
        <w:t xml:space="preserve"> </w:t>
      </w:r>
      <w:r w:rsidRPr="00E45AF1">
        <w:rPr>
          <w:lang w:val="ru-RU"/>
        </w:rPr>
        <w:br/>
      </w:r>
      <w:r>
        <w:rPr>
          <w:lang w:val="ru-RU"/>
        </w:rPr>
        <w:t>Дата вступления в силу и переходные положения</w:t>
      </w:r>
    </w:p>
    <w:p w:rsidR="00B934D5" w:rsidRPr="00936BD4" w:rsidRDefault="00B934D5" w:rsidP="00B934D5">
      <w:pPr>
        <w:pStyle w:val="IASBNote"/>
        <w:rPr>
          <w:lang w:val="ru-RU"/>
        </w:rPr>
      </w:pPr>
      <w:bookmarkStart w:id="20" w:name="F52431618"/>
      <w:r w:rsidRPr="00936BD4">
        <w:rPr>
          <w:lang w:val="ru-RU"/>
        </w:rPr>
        <w:t xml:space="preserve">Данное приложение является неотъемлемой частью </w:t>
      </w:r>
      <w:r>
        <w:rPr>
          <w:lang w:val="ru-RU"/>
        </w:rPr>
        <w:t xml:space="preserve">Разъяснения КРМФО (IFRIC) 22 </w:t>
      </w:r>
      <w:r w:rsidRPr="00936BD4">
        <w:rPr>
          <w:lang w:val="ru-RU"/>
        </w:rPr>
        <w:t xml:space="preserve">и имеет такую же силу, как и другие составляющие </w:t>
      </w:r>
      <w:r>
        <w:rPr>
          <w:lang w:val="ru-RU"/>
        </w:rPr>
        <w:t>Разъяснения КРМФО (IFRIC) 22</w:t>
      </w:r>
      <w:r w:rsidRPr="00936BD4">
        <w:rPr>
          <w:lang w:val="ru-RU"/>
        </w:rPr>
        <w:t>.</w:t>
      </w:r>
      <w:bookmarkEnd w:id="20"/>
    </w:p>
    <w:p w:rsidR="00B934D5" w:rsidRPr="00936BD4" w:rsidRDefault="00B934D5" w:rsidP="00B934D5">
      <w:pPr>
        <w:pStyle w:val="IASBSectionTitle1NonInd"/>
        <w:rPr>
          <w:lang w:val="ru-RU"/>
        </w:rPr>
      </w:pPr>
      <w:r>
        <w:rPr>
          <w:lang w:val="ru-RU"/>
        </w:rPr>
        <w:t>Дата вступления в силу</w:t>
      </w:r>
    </w:p>
    <w:p w:rsidR="00B934D5" w:rsidRPr="00F53294" w:rsidRDefault="00B934D5" w:rsidP="00B934D5">
      <w:pPr>
        <w:pStyle w:val="IASBNormalnpara"/>
        <w:rPr>
          <w:lang w:val="ru-RU"/>
        </w:rPr>
      </w:pPr>
      <w:proofErr w:type="gramStart"/>
      <w:r w:rsidRPr="008E389D">
        <w:rPr>
          <w:lang w:val="en-GB"/>
        </w:rPr>
        <w:t>A</w:t>
      </w:r>
      <w:r w:rsidRPr="00E45AF1">
        <w:rPr>
          <w:lang w:val="ru-RU"/>
        </w:rPr>
        <w:t>1</w:t>
      </w:r>
      <w:r w:rsidRPr="00E45AF1">
        <w:rPr>
          <w:lang w:val="ru-RU"/>
        </w:rPr>
        <w:tab/>
      </w:r>
      <w:bookmarkStart w:id="21" w:name="F52431621"/>
      <w:r>
        <w:rPr>
          <w:lang w:val="ru-RU"/>
        </w:rPr>
        <w:t>Организация должна применять настоящее разъяснение в отношении годовых отчетных периодов, начинающихся 1 января 2018 года или после этой даты.</w:t>
      </w:r>
      <w:proofErr w:type="gramEnd"/>
      <w:r>
        <w:rPr>
          <w:lang w:val="ru-RU"/>
        </w:rPr>
        <w:t xml:space="preserve"> Допускается</w:t>
      </w:r>
      <w:r w:rsidRPr="00E45AF1">
        <w:rPr>
          <w:lang w:val="ru-RU"/>
        </w:rPr>
        <w:t xml:space="preserve"> </w:t>
      </w:r>
      <w:r>
        <w:rPr>
          <w:lang w:val="ru-RU"/>
        </w:rPr>
        <w:t>досрочное</w:t>
      </w:r>
      <w:r w:rsidRPr="00E45AF1">
        <w:rPr>
          <w:lang w:val="ru-RU"/>
        </w:rPr>
        <w:t xml:space="preserve"> </w:t>
      </w:r>
      <w:r>
        <w:rPr>
          <w:lang w:val="ru-RU"/>
        </w:rPr>
        <w:t>применение</w:t>
      </w:r>
      <w:r w:rsidRPr="00E45AF1">
        <w:rPr>
          <w:lang w:val="ru-RU"/>
        </w:rPr>
        <w:t xml:space="preserve">. </w:t>
      </w:r>
      <w:r w:rsidRPr="00F53294">
        <w:rPr>
          <w:lang w:val="ru-RU"/>
        </w:rPr>
        <w:t>Если организация применит настоящее разъяснение для более раннего периода</w:t>
      </w:r>
      <w:r>
        <w:rPr>
          <w:lang w:val="ru-RU"/>
        </w:rPr>
        <w:t>, она должна раскрыть этот факт</w:t>
      </w:r>
      <w:r w:rsidRPr="00F53294">
        <w:rPr>
          <w:lang w:val="ru-RU"/>
        </w:rPr>
        <w:t>.</w:t>
      </w:r>
      <w:bookmarkEnd w:id="21"/>
    </w:p>
    <w:bookmarkEnd w:id="19"/>
    <w:p w:rsidR="00E45AF1" w:rsidRPr="00F53294" w:rsidRDefault="00E45AF1" w:rsidP="00E45AF1">
      <w:pPr>
        <w:pStyle w:val="IASBSectionTitle1NonInd"/>
        <w:rPr>
          <w:lang w:val="ru-RU"/>
        </w:rPr>
      </w:pPr>
      <w:r>
        <w:rPr>
          <w:lang w:val="ru-RU"/>
        </w:rPr>
        <w:t>Переходные положения</w:t>
      </w:r>
    </w:p>
    <w:p w:rsidR="00E45AF1" w:rsidRPr="00E45AF1" w:rsidRDefault="00E45AF1" w:rsidP="00E45AF1">
      <w:pPr>
        <w:pStyle w:val="IASBNormalnpara"/>
        <w:rPr>
          <w:lang w:val="ru-RU"/>
        </w:rPr>
      </w:pPr>
      <w:r w:rsidRPr="008E389D">
        <w:rPr>
          <w:lang w:val="en-GB"/>
        </w:rPr>
        <w:t>A</w:t>
      </w:r>
      <w:r w:rsidRPr="00E45AF1">
        <w:rPr>
          <w:lang w:val="ru-RU"/>
        </w:rPr>
        <w:t>2</w:t>
      </w:r>
      <w:r w:rsidRPr="00E45AF1">
        <w:rPr>
          <w:lang w:val="ru-RU"/>
        </w:rPr>
        <w:tab/>
      </w:r>
      <w:bookmarkStart w:id="22" w:name="F52431624"/>
      <w:r>
        <w:rPr>
          <w:lang w:val="ru-RU"/>
        </w:rPr>
        <w:t>При первоначальном применении организация должна применять настоящее разъяснение либо</w:t>
      </w:r>
      <w:r w:rsidRPr="00E45AF1">
        <w:rPr>
          <w:lang w:val="ru-RU"/>
        </w:rPr>
        <w:t>:</w:t>
      </w:r>
      <w:bookmarkEnd w:id="22"/>
    </w:p>
    <w:p w:rsidR="00E45AF1" w:rsidRPr="008B27F9" w:rsidRDefault="00E45AF1" w:rsidP="00E45AF1">
      <w:pPr>
        <w:pStyle w:val="IASBNormalnparaL1"/>
        <w:rPr>
          <w:lang w:val="ru-RU"/>
        </w:rPr>
      </w:pPr>
      <w:r w:rsidRPr="00E45AF1">
        <w:rPr>
          <w:lang w:val="ru-RU"/>
        </w:rPr>
        <w:t>(</w:t>
      </w:r>
      <w:r w:rsidRPr="008E389D">
        <w:rPr>
          <w:lang w:val="en-GB"/>
        </w:rPr>
        <w:t>a</w:t>
      </w:r>
      <w:r w:rsidRPr="00E45AF1">
        <w:rPr>
          <w:lang w:val="ru-RU"/>
        </w:rPr>
        <w:t>)</w:t>
      </w:r>
      <w:r w:rsidRPr="00E45AF1">
        <w:rPr>
          <w:lang w:val="ru-RU"/>
        </w:rPr>
        <w:tab/>
      </w:r>
      <w:bookmarkStart w:id="23" w:name="F52431627"/>
      <w:r>
        <w:rPr>
          <w:lang w:val="ru-RU"/>
        </w:rPr>
        <w:t>ретроспективно с применением МСФО (IAS) </w:t>
      </w:r>
      <w:r w:rsidRPr="00E45AF1">
        <w:rPr>
          <w:lang w:val="ru-RU"/>
        </w:rPr>
        <w:t xml:space="preserve">8 </w:t>
      </w:r>
      <w:r>
        <w:rPr>
          <w:i/>
          <w:lang w:val="ru-RU"/>
        </w:rPr>
        <w:t>«</w:t>
      </w:r>
      <w:r w:rsidRPr="00D75009">
        <w:rPr>
          <w:i/>
          <w:lang w:val="ru-RU"/>
        </w:rPr>
        <w:t>Учетная политика, изменения в бухгалтерских оценках и ошибки</w:t>
      </w:r>
      <w:r>
        <w:rPr>
          <w:i/>
          <w:lang w:val="ru-RU"/>
        </w:rPr>
        <w:t>»</w:t>
      </w:r>
      <w:r w:rsidRPr="00E45AF1">
        <w:rPr>
          <w:lang w:val="ru-RU"/>
        </w:rPr>
        <w:t xml:space="preserve">; </w:t>
      </w:r>
      <w:bookmarkEnd w:id="23"/>
      <w:r>
        <w:rPr>
          <w:lang w:val="ru-RU"/>
        </w:rPr>
        <w:t>либо</w:t>
      </w:r>
    </w:p>
    <w:p w:rsidR="00E45AF1" w:rsidRPr="00E45AF1" w:rsidRDefault="00E45AF1" w:rsidP="00E45AF1">
      <w:pPr>
        <w:pStyle w:val="IASBNormalnparaL1"/>
        <w:rPr>
          <w:lang w:val="ru-RU"/>
        </w:rPr>
      </w:pPr>
      <w:r w:rsidRPr="00E45AF1">
        <w:rPr>
          <w:lang w:val="ru-RU"/>
        </w:rPr>
        <w:t>(</w:t>
      </w:r>
      <w:r w:rsidRPr="008E389D">
        <w:rPr>
          <w:lang w:val="en-GB"/>
        </w:rPr>
        <w:t>b</w:t>
      </w:r>
      <w:r w:rsidRPr="00E45AF1">
        <w:rPr>
          <w:lang w:val="ru-RU"/>
        </w:rPr>
        <w:t>)</w:t>
      </w:r>
      <w:r w:rsidRPr="00E45AF1">
        <w:rPr>
          <w:lang w:val="ru-RU"/>
        </w:rPr>
        <w:tab/>
      </w:r>
      <w:bookmarkStart w:id="24" w:name="F52431630"/>
      <w:r>
        <w:rPr>
          <w:lang w:val="ru-RU"/>
        </w:rPr>
        <w:t>перспективно в отношении всех активов, расходов и доходов в рамках сферы применения настоящего разъяснения, первоначально признанных на указанную ниже дату или после нее</w:t>
      </w:r>
      <w:r w:rsidRPr="00E45AF1">
        <w:rPr>
          <w:lang w:val="ru-RU"/>
        </w:rPr>
        <w:t>:</w:t>
      </w:r>
      <w:bookmarkEnd w:id="24"/>
    </w:p>
    <w:p w:rsidR="00E45AF1" w:rsidRPr="00E45AF1" w:rsidRDefault="00E45AF1" w:rsidP="00E45AF1">
      <w:pPr>
        <w:pStyle w:val="IASBNormalnparaL2"/>
        <w:rPr>
          <w:lang w:val="ru-RU"/>
        </w:rPr>
      </w:pPr>
      <w:r w:rsidRPr="00E45AF1">
        <w:rPr>
          <w:lang w:val="ru-RU"/>
        </w:rPr>
        <w:t>(</w:t>
      </w:r>
      <w:r w:rsidRPr="008E389D">
        <w:rPr>
          <w:lang w:val="en-GB"/>
        </w:rPr>
        <w:t>i</w:t>
      </w:r>
      <w:r w:rsidRPr="00E45AF1">
        <w:rPr>
          <w:lang w:val="ru-RU"/>
        </w:rPr>
        <w:t>)</w:t>
      </w:r>
      <w:r w:rsidRPr="00E45AF1">
        <w:rPr>
          <w:lang w:val="ru-RU"/>
        </w:rPr>
        <w:tab/>
      </w:r>
      <w:bookmarkStart w:id="25" w:name="F52431633"/>
      <w:r w:rsidRPr="00E45AF1">
        <w:rPr>
          <w:lang w:val="ru-RU"/>
        </w:rPr>
        <w:t xml:space="preserve">начало отчетного периода, в котором организация впервые применяет настоящее разъяснение; </w:t>
      </w:r>
      <w:r>
        <w:rPr>
          <w:lang w:val="ru-RU"/>
        </w:rPr>
        <w:t>либо</w:t>
      </w:r>
      <w:bookmarkEnd w:id="25"/>
    </w:p>
    <w:p w:rsidR="00E45AF1" w:rsidRPr="00E45AF1" w:rsidRDefault="00E45AF1" w:rsidP="00E45AF1">
      <w:pPr>
        <w:pStyle w:val="IASBNormalnparaL2"/>
        <w:rPr>
          <w:lang w:val="ru-RU"/>
        </w:rPr>
      </w:pPr>
      <w:r w:rsidRPr="00E45AF1">
        <w:rPr>
          <w:lang w:val="ru-RU"/>
        </w:rPr>
        <w:t>(</w:t>
      </w:r>
      <w:r w:rsidRPr="008E389D">
        <w:rPr>
          <w:lang w:val="en-GB"/>
        </w:rPr>
        <w:t>ii</w:t>
      </w:r>
      <w:r w:rsidRPr="00E45AF1">
        <w:rPr>
          <w:lang w:val="ru-RU"/>
        </w:rPr>
        <w:t>)</w:t>
      </w:r>
      <w:r w:rsidRPr="00E45AF1">
        <w:rPr>
          <w:lang w:val="ru-RU"/>
        </w:rPr>
        <w:tab/>
      </w:r>
      <w:bookmarkStart w:id="26" w:name="F52431635"/>
      <w:r>
        <w:rPr>
          <w:lang w:val="ru-RU"/>
        </w:rPr>
        <w:t>начало предыдущего отчетного периода, представленного в качестве сравнительной информации в финансовой отчетности отчетного периода, в котором организация впервые применяет настоящее разъяснение</w:t>
      </w:r>
      <w:r w:rsidRPr="00E45AF1">
        <w:rPr>
          <w:lang w:val="ru-RU"/>
        </w:rPr>
        <w:t>.</w:t>
      </w:r>
      <w:bookmarkEnd w:id="26"/>
    </w:p>
    <w:p w:rsidR="00E45AF1" w:rsidRDefault="00E45AF1" w:rsidP="00D715E9">
      <w:pPr>
        <w:pStyle w:val="IASBNormalnpara"/>
        <w:rPr>
          <w:lang w:val="ru-RU"/>
        </w:rPr>
      </w:pPr>
      <w:r w:rsidRPr="008E389D">
        <w:rPr>
          <w:lang w:val="en-GB"/>
        </w:rPr>
        <w:t>A</w:t>
      </w:r>
      <w:r w:rsidRPr="00E45AF1">
        <w:rPr>
          <w:lang w:val="ru-RU"/>
        </w:rPr>
        <w:t>3</w:t>
      </w:r>
      <w:r w:rsidRPr="00E45AF1">
        <w:rPr>
          <w:lang w:val="ru-RU"/>
        </w:rPr>
        <w:tab/>
      </w:r>
      <w:bookmarkStart w:id="27" w:name="F52431636"/>
      <w:r>
        <w:rPr>
          <w:lang w:val="ru-RU"/>
        </w:rPr>
        <w:t xml:space="preserve">Организация, которая применяет пункт </w:t>
      </w:r>
      <w:proofErr w:type="gramStart"/>
      <w:r w:rsidRPr="008E389D">
        <w:rPr>
          <w:lang w:val="en-GB"/>
        </w:rPr>
        <w:t>A</w:t>
      </w:r>
      <w:r w:rsidRPr="00E45AF1">
        <w:rPr>
          <w:lang w:val="ru-RU"/>
        </w:rPr>
        <w:t>2(</w:t>
      </w:r>
      <w:proofErr w:type="gramEnd"/>
      <w:r w:rsidRPr="008E389D">
        <w:rPr>
          <w:lang w:val="en-GB"/>
        </w:rPr>
        <w:t>b</w:t>
      </w:r>
      <w:r w:rsidRPr="00E45AF1">
        <w:rPr>
          <w:lang w:val="ru-RU"/>
        </w:rPr>
        <w:t>)</w:t>
      </w:r>
      <w:r>
        <w:rPr>
          <w:lang w:val="ru-RU"/>
        </w:rPr>
        <w:t xml:space="preserve">, при первоначальном признании должна применить настоящее разъяснение в отношении активов, расходов и доходов, первоначально признанных на дату начала отчетного периода, как указано в пункте </w:t>
      </w:r>
      <w:r w:rsidRPr="008E389D">
        <w:rPr>
          <w:lang w:val="en-GB"/>
        </w:rPr>
        <w:t>A</w:t>
      </w:r>
      <w:r w:rsidRPr="00E45AF1">
        <w:rPr>
          <w:lang w:val="ru-RU"/>
        </w:rPr>
        <w:t>2(</w:t>
      </w:r>
      <w:r w:rsidRPr="008E389D">
        <w:rPr>
          <w:lang w:val="en-GB"/>
        </w:rPr>
        <w:t>b</w:t>
      </w:r>
      <w:r w:rsidRPr="00E45AF1">
        <w:rPr>
          <w:lang w:val="ru-RU"/>
        </w:rPr>
        <w:t>)(</w:t>
      </w:r>
      <w:r w:rsidRPr="008E389D">
        <w:rPr>
          <w:lang w:val="en-GB"/>
        </w:rPr>
        <w:t>i</w:t>
      </w:r>
      <w:r w:rsidRPr="00E45AF1">
        <w:rPr>
          <w:lang w:val="ru-RU"/>
        </w:rPr>
        <w:t>)</w:t>
      </w:r>
      <w:r>
        <w:rPr>
          <w:lang w:val="ru-RU"/>
        </w:rPr>
        <w:t xml:space="preserve"> либо </w:t>
      </w:r>
      <w:r w:rsidRPr="00E45AF1">
        <w:rPr>
          <w:lang w:val="ru-RU"/>
        </w:rPr>
        <w:t>(</w:t>
      </w:r>
      <w:r>
        <w:rPr>
          <w:lang w:val="en-GB"/>
        </w:rPr>
        <w:t>ii</w:t>
      </w:r>
      <w:r w:rsidRPr="00E45AF1">
        <w:rPr>
          <w:lang w:val="ru-RU"/>
        </w:rPr>
        <w:t xml:space="preserve">) </w:t>
      </w:r>
      <w:r>
        <w:rPr>
          <w:lang w:val="ru-RU"/>
        </w:rPr>
        <w:t xml:space="preserve">или после этой даты, в отношении которых организация признала немонетарные активы или немонетарные обязательства, </w:t>
      </w:r>
      <w:r w:rsidRPr="00930046">
        <w:rPr>
          <w:lang w:val="ru-RU"/>
        </w:rPr>
        <w:t>возникшие в</w:t>
      </w:r>
      <w:r>
        <w:rPr>
          <w:lang w:val="ru-RU"/>
        </w:rPr>
        <w:t>следствие</w:t>
      </w:r>
      <w:r w:rsidRPr="00930046">
        <w:rPr>
          <w:lang w:val="ru-RU"/>
        </w:rPr>
        <w:t xml:space="preserve"> </w:t>
      </w:r>
      <w:r>
        <w:rPr>
          <w:lang w:val="ru-RU"/>
        </w:rPr>
        <w:t>предварительной оплаты, произошедшей до этой даты</w:t>
      </w:r>
      <w:r w:rsidRPr="00E45AF1">
        <w:rPr>
          <w:lang w:val="ru-RU"/>
        </w:rPr>
        <w:t>.</w:t>
      </w:r>
      <w:bookmarkEnd w:id="27"/>
    </w:p>
    <w:p w:rsidR="00D715E9" w:rsidRDefault="00D715E9" w:rsidP="00D715E9">
      <w:pPr>
        <w:pStyle w:val="IASBNormalnpara"/>
        <w:rPr>
          <w:lang w:val="ru-RU"/>
        </w:rPr>
      </w:pPr>
    </w:p>
    <w:p w:rsidR="00D715E9" w:rsidRDefault="00D715E9" w:rsidP="00D715E9">
      <w:pPr>
        <w:pStyle w:val="IASBNormalnpara"/>
        <w:rPr>
          <w:lang w:val="ru-RU"/>
        </w:rPr>
      </w:pPr>
    </w:p>
    <w:p w:rsidR="00D715E9" w:rsidRDefault="00D715E9" w:rsidP="00D715E9">
      <w:pPr>
        <w:pStyle w:val="IASBNormalnpara"/>
        <w:rPr>
          <w:lang w:val="ru-RU"/>
        </w:rPr>
      </w:pPr>
    </w:p>
    <w:p w:rsidR="00D715E9" w:rsidRDefault="00D715E9" w:rsidP="00D715E9">
      <w:pPr>
        <w:pStyle w:val="IASBNormalnpara"/>
        <w:rPr>
          <w:lang w:val="ru-RU"/>
        </w:rPr>
      </w:pPr>
    </w:p>
    <w:p w:rsidR="00D715E9" w:rsidRDefault="00D715E9" w:rsidP="00D715E9">
      <w:pPr>
        <w:pStyle w:val="IASBNormalnpara"/>
        <w:rPr>
          <w:lang w:val="ru-RU"/>
        </w:rPr>
      </w:pPr>
    </w:p>
    <w:p w:rsidR="00D715E9" w:rsidRDefault="00D715E9" w:rsidP="00D715E9">
      <w:pPr>
        <w:pStyle w:val="IASBNormalnpara"/>
        <w:rPr>
          <w:lang w:val="ru-RU"/>
        </w:rPr>
      </w:pPr>
    </w:p>
    <w:p w:rsidR="00D715E9" w:rsidRDefault="00D715E9" w:rsidP="00D715E9">
      <w:pPr>
        <w:pStyle w:val="IASBNormalnpara"/>
        <w:rPr>
          <w:lang w:val="ru-RU"/>
        </w:rPr>
      </w:pPr>
    </w:p>
    <w:p w:rsidR="00D715E9" w:rsidRDefault="00D715E9" w:rsidP="00D715E9">
      <w:pPr>
        <w:pStyle w:val="IASBNormalnpara"/>
        <w:rPr>
          <w:lang w:val="ru-RU"/>
        </w:rPr>
      </w:pPr>
    </w:p>
    <w:p w:rsidR="00D715E9" w:rsidRDefault="00D715E9" w:rsidP="00D715E9">
      <w:pPr>
        <w:pStyle w:val="IASBNormalnpara"/>
        <w:rPr>
          <w:lang w:val="ru-RU"/>
        </w:rPr>
      </w:pPr>
    </w:p>
    <w:p w:rsidR="00D715E9" w:rsidRDefault="00D715E9" w:rsidP="00D715E9">
      <w:pPr>
        <w:pStyle w:val="IASBNormalnpara"/>
        <w:rPr>
          <w:lang w:val="ru-RU"/>
        </w:rPr>
      </w:pPr>
    </w:p>
    <w:p w:rsidR="00D715E9" w:rsidRDefault="00D715E9" w:rsidP="00D715E9">
      <w:pPr>
        <w:pStyle w:val="IASBNormalnpara"/>
        <w:rPr>
          <w:lang w:val="ru-RU"/>
        </w:rPr>
      </w:pPr>
    </w:p>
    <w:p w:rsidR="00D715E9" w:rsidRDefault="00D715E9" w:rsidP="00D715E9">
      <w:pPr>
        <w:pStyle w:val="IASBNormalnpara"/>
        <w:rPr>
          <w:lang w:val="ru-RU"/>
        </w:rPr>
      </w:pPr>
    </w:p>
    <w:p w:rsidR="00D715E9" w:rsidRDefault="00D715E9" w:rsidP="00D715E9">
      <w:pPr>
        <w:pStyle w:val="IASBNormalnpara"/>
        <w:rPr>
          <w:lang w:val="ru-RU"/>
        </w:rPr>
      </w:pPr>
    </w:p>
    <w:p w:rsidR="00D715E9" w:rsidRDefault="00D715E9" w:rsidP="00D715E9">
      <w:pPr>
        <w:pStyle w:val="IASBNormalnpara"/>
        <w:rPr>
          <w:lang w:val="ru-RU"/>
        </w:rPr>
      </w:pPr>
    </w:p>
    <w:p w:rsidR="00D715E9" w:rsidRDefault="00D715E9" w:rsidP="00D715E9">
      <w:pPr>
        <w:pStyle w:val="IASBNormalnpara"/>
        <w:rPr>
          <w:lang w:val="ru-RU"/>
        </w:rPr>
      </w:pPr>
    </w:p>
    <w:p w:rsidR="00D715E9" w:rsidRDefault="00D715E9" w:rsidP="00D715E9">
      <w:pPr>
        <w:pStyle w:val="IASBNormalnpara"/>
        <w:rPr>
          <w:lang w:val="ru-RU"/>
        </w:rPr>
      </w:pPr>
    </w:p>
    <w:p w:rsidR="00D715E9" w:rsidRDefault="00D715E9" w:rsidP="00D715E9">
      <w:pPr>
        <w:pStyle w:val="IASBNormalnpara"/>
        <w:rPr>
          <w:lang w:val="ru-RU"/>
        </w:rPr>
      </w:pPr>
    </w:p>
    <w:p w:rsidR="00D715E9" w:rsidRDefault="00D715E9" w:rsidP="00D715E9">
      <w:pPr>
        <w:pStyle w:val="IASBNormalnpara"/>
        <w:rPr>
          <w:lang w:val="ru-RU"/>
        </w:rPr>
      </w:pPr>
    </w:p>
    <w:sectPr w:rsidR="00D715E9" w:rsidSect="002811B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B2C" w:rsidRDefault="009C5B2C" w:rsidP="00E45AF1">
      <w:r>
        <w:separator/>
      </w:r>
    </w:p>
  </w:endnote>
  <w:endnote w:type="continuationSeparator" w:id="0">
    <w:p w:rsidR="009C5B2C" w:rsidRDefault="009C5B2C" w:rsidP="00E4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422" w:rsidRDefault="002D5AF2" w:rsidP="005D23ED">
    <w:pPr>
      <w:pStyle w:val="IASBNormalnparaL2P"/>
      <w:tabs>
        <w:tab w:val="center" w:pos="4677"/>
        <w:tab w:val="left" w:pos="6125"/>
      </w:tabs>
      <w:spacing w:before="0"/>
      <w:ind w:left="0"/>
      <w:jc w:val="left"/>
      <w:rPr>
        <w:sz w:val="17"/>
        <w:lang w:val="en-GB" w:eastAsia="en-GB"/>
      </w:rPr>
    </w:pPr>
    <w:r>
      <w:rPr>
        <w:sz w:val="17"/>
        <w:lang w:val="en-GB" w:eastAsia="en-GB"/>
      </w:rPr>
      <w:fldChar w:fldCharType="begin"/>
    </w:r>
    <w:r>
      <w:rPr>
        <w:sz w:val="17"/>
        <w:lang w:val="en-GB" w:eastAsia="en-GB"/>
      </w:rPr>
      <w:instrText xml:space="preserve"> PAGE </w:instrText>
    </w:r>
    <w:r>
      <w:rPr>
        <w:sz w:val="17"/>
        <w:lang w:val="en-GB" w:eastAsia="en-GB"/>
      </w:rPr>
      <w:fldChar w:fldCharType="separate"/>
    </w:r>
    <w:r w:rsidR="0057106E">
      <w:rPr>
        <w:noProof/>
        <w:sz w:val="17"/>
        <w:lang w:val="en-GB" w:eastAsia="en-GB"/>
      </w:rPr>
      <w:t>2</w:t>
    </w:r>
    <w:r>
      <w:rPr>
        <w:sz w:val="17"/>
        <w:lang w:val="en-GB" w:eastAsia="en-GB"/>
      </w:rPr>
      <w:fldChar w:fldCharType="end"/>
    </w:r>
    <w:r>
      <w:rPr>
        <w:sz w:val="17"/>
        <w:lang w:val="en-GB" w:eastAsia="en-GB"/>
      </w:rPr>
      <w:tab/>
    </w:r>
    <w:r>
      <w:rPr>
        <w:sz w:val="17"/>
        <w:vertAlign w:val="superscript"/>
        <w:lang w:val="en-GB" w:eastAsia="en-GB"/>
      </w:rPr>
      <w:t>©</w:t>
    </w:r>
    <w:r>
      <w:rPr>
        <w:sz w:val="17"/>
        <w:lang w:val="en-GB" w:eastAsia="en-GB"/>
      </w:rPr>
      <w:t xml:space="preserve"> IFRS Foundation</w:t>
    </w:r>
    <w:r w:rsidR="005D23ED">
      <w:rPr>
        <w:sz w:val="17"/>
        <w:lang w:val="en-GB" w:eastAsia="en-GB"/>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1BA" w:rsidRPr="002811BA" w:rsidRDefault="002811BA" w:rsidP="002811BA">
    <w:pPr>
      <w:tabs>
        <w:tab w:val="center" w:pos="4677"/>
        <w:tab w:val="left" w:pos="6813"/>
        <w:tab w:val="right" w:pos="9354"/>
      </w:tabs>
      <w:rPr>
        <w:sz w:val="17"/>
        <w:szCs w:val="20"/>
        <w:lang w:val="ru-RU" w:eastAsia="en-GB"/>
      </w:rPr>
    </w:pPr>
    <w:r w:rsidRPr="00211338">
      <w:rPr>
        <w:sz w:val="17"/>
        <w:szCs w:val="20"/>
        <w:lang w:eastAsia="en-GB"/>
      </w:rPr>
      <w:tab/>
    </w:r>
    <w:r w:rsidRPr="00211338">
      <w:rPr>
        <w:sz w:val="17"/>
        <w:szCs w:val="20"/>
        <w:vertAlign w:val="superscript"/>
        <w:lang w:eastAsia="en-GB"/>
      </w:rPr>
      <w:t>©</w:t>
    </w:r>
    <w:r w:rsidRPr="00211338">
      <w:rPr>
        <w:sz w:val="17"/>
        <w:szCs w:val="20"/>
        <w:lang w:eastAsia="en-GB"/>
      </w:rPr>
      <w:t xml:space="preserve"> IFRS Foundation</w:t>
    </w:r>
    <w:r w:rsidRPr="00211338">
      <w:rPr>
        <w:sz w:val="17"/>
        <w:szCs w:val="20"/>
        <w:lang w:eastAsia="en-GB"/>
      </w:rPr>
      <w:tab/>
    </w:r>
    <w:r>
      <w:rPr>
        <w:sz w:val="17"/>
        <w:szCs w:val="20"/>
        <w:lang w:eastAsia="en-GB"/>
      </w:rPr>
      <w:tab/>
    </w:r>
    <w:r>
      <w:rPr>
        <w:sz w:val="17"/>
        <w:szCs w:val="20"/>
        <w:lang w:val="ru-RU" w:eastAsia="en-GB"/>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F69" w:rsidRPr="00211338" w:rsidRDefault="00846F69" w:rsidP="00846F69">
    <w:pPr>
      <w:tabs>
        <w:tab w:val="center" w:pos="4677"/>
        <w:tab w:val="right" w:pos="9354"/>
      </w:tabs>
      <w:rPr>
        <w:sz w:val="20"/>
        <w:szCs w:val="20"/>
        <w:lang w:eastAsia="en-GB"/>
      </w:rPr>
    </w:pPr>
    <w:r w:rsidRPr="00211338">
      <w:rPr>
        <w:sz w:val="17"/>
        <w:szCs w:val="20"/>
        <w:lang w:eastAsia="en-GB"/>
      </w:rPr>
      <w:tab/>
    </w:r>
    <w:r w:rsidRPr="00211338">
      <w:rPr>
        <w:sz w:val="17"/>
        <w:szCs w:val="20"/>
        <w:vertAlign w:val="superscript"/>
        <w:lang w:eastAsia="en-GB"/>
      </w:rPr>
      <w:t>©</w:t>
    </w:r>
    <w:r w:rsidRPr="00211338">
      <w:rPr>
        <w:sz w:val="17"/>
        <w:szCs w:val="20"/>
        <w:lang w:eastAsia="en-GB"/>
      </w:rPr>
      <w:t xml:space="preserve"> IFRS Foundation</w:t>
    </w:r>
    <w:r w:rsidRPr="00211338">
      <w:rPr>
        <w:sz w:val="17"/>
        <w:szCs w:val="20"/>
        <w:lang w:eastAsia="en-GB"/>
      </w:rPr>
      <w:tab/>
    </w:r>
    <w:r w:rsidRPr="00211338">
      <w:rPr>
        <w:sz w:val="17"/>
        <w:szCs w:val="20"/>
        <w:lang w:eastAsia="en-GB"/>
      </w:rPr>
      <w:fldChar w:fldCharType="begin"/>
    </w:r>
    <w:r w:rsidRPr="00211338">
      <w:rPr>
        <w:sz w:val="17"/>
        <w:szCs w:val="20"/>
        <w:lang w:eastAsia="en-GB"/>
      </w:rPr>
      <w:instrText xml:space="preserve"> PAGE </w:instrText>
    </w:r>
    <w:r w:rsidRPr="00211338">
      <w:rPr>
        <w:sz w:val="17"/>
        <w:szCs w:val="20"/>
        <w:lang w:eastAsia="en-GB"/>
      </w:rPr>
      <w:fldChar w:fldCharType="separate"/>
    </w:r>
    <w:r w:rsidR="0057106E">
      <w:rPr>
        <w:noProof/>
        <w:sz w:val="17"/>
        <w:szCs w:val="20"/>
        <w:lang w:eastAsia="en-GB"/>
      </w:rPr>
      <w:t>1</w:t>
    </w:r>
    <w:r w:rsidRPr="00211338">
      <w:rPr>
        <w:sz w:val="17"/>
        <w:szCs w:val="20"/>
        <w:lang w:eastAsia="en-GB"/>
      </w:rPr>
      <w:fldChar w:fldCharType="end"/>
    </w:r>
  </w:p>
  <w:p w:rsidR="00846F69" w:rsidRDefault="00846F6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B2C" w:rsidRDefault="009C5B2C" w:rsidP="00E45AF1">
      <w:r>
        <w:separator/>
      </w:r>
    </w:p>
  </w:footnote>
  <w:footnote w:type="continuationSeparator" w:id="0">
    <w:p w:rsidR="009C5B2C" w:rsidRDefault="009C5B2C" w:rsidP="00E45AF1">
      <w:r>
        <w:continuationSeparator/>
      </w:r>
    </w:p>
  </w:footnote>
  <w:footnote w:id="1">
    <w:p w:rsidR="00410355" w:rsidRPr="00410355" w:rsidRDefault="00410355" w:rsidP="00DA03A6">
      <w:pPr>
        <w:tabs>
          <w:tab w:val="left" w:pos="426"/>
        </w:tabs>
        <w:rPr>
          <w:sz w:val="16"/>
          <w:szCs w:val="16"/>
          <w:lang w:val="ru-RU"/>
        </w:rPr>
      </w:pPr>
      <w:r w:rsidRPr="00410355">
        <w:rPr>
          <w:sz w:val="16"/>
          <w:szCs w:val="16"/>
          <w:lang w:val="ru-RU"/>
        </w:rPr>
        <w:footnoteRef/>
      </w:r>
      <w:r w:rsidRPr="00410355">
        <w:rPr>
          <w:sz w:val="16"/>
          <w:szCs w:val="16"/>
          <w:lang w:val="ru-RU"/>
        </w:rPr>
        <w:tab/>
        <w:t xml:space="preserve">Ссылка указывает на </w:t>
      </w:r>
      <w:r w:rsidRPr="00410355">
        <w:rPr>
          <w:i/>
          <w:sz w:val="16"/>
          <w:szCs w:val="16"/>
          <w:lang w:val="ru-RU"/>
        </w:rPr>
        <w:t>«Концептуальные основы финансовой отчетности»</w:t>
      </w:r>
      <w:r w:rsidRPr="00410355">
        <w:rPr>
          <w:sz w:val="16"/>
          <w:szCs w:val="16"/>
          <w:lang w:val="ru-RU"/>
        </w:rPr>
        <w:t>, выпущенные в 2010 году и действовавшие на момент разработки настоящего разъяснения.</w:t>
      </w:r>
    </w:p>
  </w:footnote>
  <w:footnote w:id="2">
    <w:p w:rsidR="00093194" w:rsidRPr="00093194" w:rsidRDefault="00E45AF1" w:rsidP="00DA03A6">
      <w:pPr>
        <w:ind w:left="426" w:hanging="426"/>
        <w:jc w:val="both"/>
        <w:rPr>
          <w:sz w:val="16"/>
          <w:szCs w:val="20"/>
          <w:lang w:val="ru-RU"/>
        </w:rPr>
      </w:pPr>
      <w:r w:rsidRPr="00EB7B55">
        <w:rPr>
          <w:rStyle w:val="a3"/>
          <w:sz w:val="16"/>
          <w:szCs w:val="16"/>
        </w:rPr>
        <w:footnoteRef/>
      </w:r>
      <w:r w:rsidRPr="007A642D">
        <w:rPr>
          <w:lang w:val="ru-RU"/>
        </w:rPr>
        <w:tab/>
      </w:r>
      <w:r w:rsidR="00093194" w:rsidRPr="00093194">
        <w:rPr>
          <w:sz w:val="16"/>
          <w:szCs w:val="20"/>
          <w:lang w:val="ru-RU"/>
        </w:rPr>
        <w:t xml:space="preserve">Например, в пункте 106 МСФО (IFRS) 15 </w:t>
      </w:r>
      <w:r w:rsidR="00093194" w:rsidRPr="00093194">
        <w:rPr>
          <w:i/>
          <w:sz w:val="16"/>
          <w:szCs w:val="20"/>
          <w:lang w:val="ru-RU"/>
        </w:rPr>
        <w:t>«Выручка по договорам с покупателями»</w:t>
      </w:r>
      <w:r w:rsidR="00093194" w:rsidRPr="00093194">
        <w:rPr>
          <w:lang w:val="ru-RU"/>
        </w:rPr>
        <w:t xml:space="preserve"> </w:t>
      </w:r>
      <w:r w:rsidR="00093194" w:rsidRPr="00093194">
        <w:rPr>
          <w:sz w:val="16"/>
          <w:szCs w:val="20"/>
          <w:lang w:val="ru-RU"/>
        </w:rPr>
        <w:t xml:space="preserve">говорится, что если покупатель выплачивает возмещение либо у организации имеется право на сумму возмещения, которое является безусловным (т. е. дебиторская задолженность), прежде, чем организация передаст товар или услугу покупателю в отношении данного договора, организация должна отразить обязательство по договору в момент осуществления платежа или в момент, когда платеж становится подлежащим оплате (в зависимости от того, что произойдет раньше). </w:t>
      </w:r>
    </w:p>
    <w:p w:rsidR="00E45AF1" w:rsidRPr="00093194" w:rsidRDefault="00E45AF1" w:rsidP="00E45AF1">
      <w:pPr>
        <w:ind w:left="567" w:hanging="567"/>
        <w:rPr>
          <w:rStyle w:val="a3"/>
          <w:sz w:val="16"/>
          <w:szCs w:val="16"/>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A9D" w:rsidRPr="00F1225D" w:rsidRDefault="004F4A9D" w:rsidP="004F4A9D">
    <w:pPr>
      <w:tabs>
        <w:tab w:val="center" w:pos="4513"/>
        <w:tab w:val="right" w:pos="9026"/>
      </w:tabs>
      <w:rPr>
        <w:sz w:val="20"/>
        <w:szCs w:val="20"/>
        <w:lang w:val="ru-RU" w:eastAsia="en-GB"/>
      </w:rPr>
    </w:pPr>
    <w:r w:rsidRPr="00F1225D">
      <w:rPr>
        <w:sz w:val="20"/>
        <w:szCs w:val="20"/>
        <w:lang w:val="ru-RU" w:eastAsia="en-GB"/>
      </w:rPr>
      <w:t xml:space="preserve">Разъяснение КРМФО (IFRIC) </w:t>
    </w:r>
    <w:r>
      <w:rPr>
        <w:sz w:val="20"/>
        <w:szCs w:val="20"/>
        <w:lang w:val="ru-RU" w:eastAsia="en-GB"/>
      </w:rPr>
      <w:t>22</w:t>
    </w:r>
  </w:p>
  <w:p w:rsidR="00736422" w:rsidRDefault="009C5B2C" w:rsidP="00F1225D">
    <w:pPr>
      <w:pStyle w:val="IASBNormalnparaL1P"/>
      <w:tabs>
        <w:tab w:val="right" w:pos="9354"/>
      </w:tabs>
      <w:spacing w:before="0"/>
      <w:ind w:left="0"/>
      <w:jc w:val="left"/>
      <w:rPr>
        <w:sz w:val="20"/>
        <w:lang w:val="en-GB" w:eastAsia="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5D" w:rsidRPr="00F1225D" w:rsidRDefault="00F1225D" w:rsidP="00F1225D">
    <w:pPr>
      <w:tabs>
        <w:tab w:val="center" w:pos="4513"/>
        <w:tab w:val="right" w:pos="9026"/>
      </w:tabs>
      <w:jc w:val="right"/>
      <w:rPr>
        <w:sz w:val="20"/>
        <w:szCs w:val="20"/>
        <w:lang w:val="ru-RU" w:eastAsia="en-GB"/>
      </w:rPr>
    </w:pPr>
    <w:r w:rsidRPr="00F1225D">
      <w:rPr>
        <w:sz w:val="20"/>
        <w:szCs w:val="20"/>
        <w:lang w:val="ru-RU" w:eastAsia="en-GB"/>
      </w:rPr>
      <w:t xml:space="preserve">Разъяснение КРМФО (IFRIC) </w:t>
    </w:r>
    <w:r>
      <w:rPr>
        <w:sz w:val="20"/>
        <w:szCs w:val="20"/>
        <w:lang w:val="ru-RU" w:eastAsia="en-GB"/>
      </w:rPr>
      <w:t>22</w:t>
    </w:r>
  </w:p>
  <w:p w:rsidR="00736422" w:rsidRPr="00D97247" w:rsidRDefault="009C5B2C" w:rsidP="00D9724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5D" w:rsidRPr="00F1225D" w:rsidRDefault="00F1225D" w:rsidP="00F1225D">
    <w:pPr>
      <w:tabs>
        <w:tab w:val="center" w:pos="4513"/>
        <w:tab w:val="right" w:pos="9026"/>
      </w:tabs>
      <w:jc w:val="right"/>
      <w:rPr>
        <w:sz w:val="20"/>
        <w:szCs w:val="20"/>
        <w:lang w:val="ru-RU" w:eastAsia="en-GB"/>
      </w:rPr>
    </w:pPr>
    <w:r w:rsidRPr="00F1225D">
      <w:rPr>
        <w:sz w:val="20"/>
        <w:szCs w:val="20"/>
        <w:lang w:val="ru-RU" w:eastAsia="en-GB"/>
      </w:rPr>
      <w:t xml:space="preserve">Разъяснение КРМФО (IFRIC) </w:t>
    </w:r>
    <w:r>
      <w:rPr>
        <w:sz w:val="20"/>
        <w:szCs w:val="20"/>
        <w:lang w:val="ru-RU" w:eastAsia="en-GB"/>
      </w:rPr>
      <w:t>22</w:t>
    </w:r>
  </w:p>
  <w:p w:rsidR="002811BA" w:rsidRDefault="002811B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F1"/>
    <w:rsid w:val="00074115"/>
    <w:rsid w:val="00093194"/>
    <w:rsid w:val="000E6F3E"/>
    <w:rsid w:val="00111917"/>
    <w:rsid w:val="001C32FD"/>
    <w:rsid w:val="001D4B04"/>
    <w:rsid w:val="002030C1"/>
    <w:rsid w:val="002811BA"/>
    <w:rsid w:val="00297672"/>
    <w:rsid w:val="002D0A48"/>
    <w:rsid w:val="002D5AF2"/>
    <w:rsid w:val="003045D3"/>
    <w:rsid w:val="00311805"/>
    <w:rsid w:val="0035003A"/>
    <w:rsid w:val="003741D3"/>
    <w:rsid w:val="003A6AE6"/>
    <w:rsid w:val="00410355"/>
    <w:rsid w:val="004853DE"/>
    <w:rsid w:val="004F4A9D"/>
    <w:rsid w:val="0057106E"/>
    <w:rsid w:val="005D23ED"/>
    <w:rsid w:val="006004C8"/>
    <w:rsid w:val="00644EEA"/>
    <w:rsid w:val="00661916"/>
    <w:rsid w:val="00822003"/>
    <w:rsid w:val="00846F69"/>
    <w:rsid w:val="00923E72"/>
    <w:rsid w:val="0096218C"/>
    <w:rsid w:val="009C5B2C"/>
    <w:rsid w:val="009E4471"/>
    <w:rsid w:val="00B56F42"/>
    <w:rsid w:val="00B83DEA"/>
    <w:rsid w:val="00B934D5"/>
    <w:rsid w:val="00BE15CB"/>
    <w:rsid w:val="00C07354"/>
    <w:rsid w:val="00CA70EF"/>
    <w:rsid w:val="00D66339"/>
    <w:rsid w:val="00D715E9"/>
    <w:rsid w:val="00D83178"/>
    <w:rsid w:val="00D97247"/>
    <w:rsid w:val="00D976ED"/>
    <w:rsid w:val="00DA03A6"/>
    <w:rsid w:val="00DC553F"/>
    <w:rsid w:val="00E36554"/>
    <w:rsid w:val="00E45AF1"/>
    <w:rsid w:val="00F1225D"/>
    <w:rsid w:val="00FD2BD6"/>
    <w:rsid w:val="00FF7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AF1"/>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SBNormalnpara">
    <w:name w:val="IASB Normal npara"/>
    <w:basedOn w:val="a"/>
    <w:rsid w:val="00E45AF1"/>
    <w:pPr>
      <w:spacing w:before="100"/>
      <w:ind w:left="782" w:hanging="782"/>
      <w:jc w:val="both"/>
    </w:pPr>
    <w:rPr>
      <w:sz w:val="19"/>
      <w:szCs w:val="20"/>
      <w:lang w:val="en-US"/>
    </w:rPr>
  </w:style>
  <w:style w:type="paragraph" w:customStyle="1" w:styleId="IASBSectionTitle1Ind">
    <w:name w:val="IASB Section Title 1 Ind"/>
    <w:basedOn w:val="a"/>
    <w:rsid w:val="00E45AF1"/>
    <w:pPr>
      <w:keepNext/>
      <w:keepLines/>
      <w:pBdr>
        <w:bottom w:val="single" w:sz="4" w:space="0" w:color="auto"/>
      </w:pBdr>
      <w:spacing w:before="400" w:after="200"/>
      <w:ind w:left="782"/>
    </w:pPr>
    <w:rPr>
      <w:rFonts w:ascii="Arial" w:hAnsi="Arial" w:cs="Arial"/>
      <w:b/>
      <w:sz w:val="26"/>
      <w:szCs w:val="20"/>
      <w:lang w:val="en-US"/>
    </w:rPr>
  </w:style>
  <w:style w:type="paragraph" w:customStyle="1" w:styleId="IASBSectionTitle1NonInd">
    <w:name w:val="IASB Section Title 1 NonInd"/>
    <w:basedOn w:val="a"/>
    <w:rsid w:val="00E45AF1"/>
    <w:pPr>
      <w:keepNext/>
      <w:keepLines/>
      <w:pBdr>
        <w:bottom w:val="single" w:sz="4" w:space="0" w:color="auto"/>
      </w:pBdr>
      <w:spacing w:before="400" w:after="200"/>
    </w:pPr>
    <w:rPr>
      <w:rFonts w:ascii="Arial" w:hAnsi="Arial" w:cs="Arial"/>
      <w:b/>
      <w:sz w:val="26"/>
      <w:szCs w:val="20"/>
      <w:lang w:val="en-US"/>
    </w:rPr>
  </w:style>
  <w:style w:type="paragraph" w:customStyle="1" w:styleId="IASBSectionTitle2NonInd">
    <w:name w:val="IASB Section Title 2 NonInd"/>
    <w:basedOn w:val="a"/>
    <w:rsid w:val="00E45AF1"/>
    <w:pPr>
      <w:keepNext/>
      <w:keepLines/>
      <w:spacing w:before="300" w:after="200"/>
    </w:pPr>
    <w:rPr>
      <w:rFonts w:ascii="Arial" w:hAnsi="Arial" w:cs="Arial"/>
      <w:b/>
      <w:sz w:val="26"/>
      <w:szCs w:val="20"/>
      <w:lang w:val="en-US"/>
    </w:rPr>
  </w:style>
  <w:style w:type="paragraph" w:customStyle="1" w:styleId="IASBTitle">
    <w:name w:val="IASB Title"/>
    <w:rsid w:val="00E45AF1"/>
    <w:pPr>
      <w:keepNext/>
      <w:keepLines/>
      <w:spacing w:before="300" w:after="400" w:line="240" w:lineRule="auto"/>
    </w:pPr>
    <w:rPr>
      <w:rFonts w:ascii="Times New Roman" w:eastAsia="Times New Roman" w:hAnsi="Times New Roman" w:cs="Arial"/>
      <w:sz w:val="36"/>
      <w:szCs w:val="20"/>
      <w:lang w:val="en-US"/>
    </w:rPr>
  </w:style>
  <w:style w:type="paragraph" w:customStyle="1" w:styleId="IASBNormalnparaL1">
    <w:name w:val="IASB Normal nparaL1"/>
    <w:basedOn w:val="IASBNormalnpara"/>
    <w:rsid w:val="00E45AF1"/>
    <w:pPr>
      <w:ind w:left="1564"/>
    </w:pPr>
  </w:style>
  <w:style w:type="paragraph" w:customStyle="1" w:styleId="IASBNote">
    <w:name w:val="IASB Note"/>
    <w:basedOn w:val="a"/>
    <w:rsid w:val="00E45AF1"/>
    <w:pPr>
      <w:tabs>
        <w:tab w:val="left" w:pos="4253"/>
      </w:tabs>
      <w:spacing w:before="100" w:after="100"/>
      <w:jc w:val="both"/>
    </w:pPr>
    <w:rPr>
      <w:i/>
      <w:sz w:val="19"/>
      <w:szCs w:val="20"/>
      <w:lang w:val="en-US"/>
    </w:rPr>
  </w:style>
  <w:style w:type="character" w:styleId="a3">
    <w:name w:val="footnote reference"/>
    <w:uiPriority w:val="99"/>
    <w:semiHidden/>
    <w:unhideWhenUsed/>
    <w:rsid w:val="00E45AF1"/>
    <w:rPr>
      <w:vertAlign w:val="superscript"/>
    </w:rPr>
  </w:style>
  <w:style w:type="paragraph" w:customStyle="1" w:styleId="IASBNormalL1">
    <w:name w:val="IASB Normal L1"/>
    <w:basedOn w:val="IASBNormalnpara"/>
    <w:rsid w:val="00E45AF1"/>
  </w:style>
  <w:style w:type="paragraph" w:customStyle="1" w:styleId="IASBNormalnparaL2">
    <w:name w:val="IASB Normal nparaL2"/>
    <w:basedOn w:val="IASBNormalnparaL1"/>
    <w:rsid w:val="00E45AF1"/>
    <w:pPr>
      <w:ind w:left="2347"/>
    </w:pPr>
  </w:style>
  <w:style w:type="paragraph" w:customStyle="1" w:styleId="IASBNormalnparaL1P">
    <w:name w:val="IASB Normal nparaL1P"/>
    <w:basedOn w:val="IASBNormalnparaL2"/>
    <w:rsid w:val="00E45AF1"/>
    <w:pPr>
      <w:ind w:left="1565" w:firstLine="0"/>
    </w:pPr>
  </w:style>
  <w:style w:type="paragraph" w:customStyle="1" w:styleId="IASBNormalnparaL2P">
    <w:name w:val="IASB Normal nparaL2P"/>
    <w:basedOn w:val="IASBNormalnparaL1P"/>
    <w:rsid w:val="00E45AF1"/>
    <w:pPr>
      <w:ind w:left="2347"/>
    </w:pPr>
  </w:style>
  <w:style w:type="paragraph" w:customStyle="1" w:styleId="IASBTableArial">
    <w:name w:val="IASB Table Arial"/>
    <w:basedOn w:val="a"/>
    <w:rsid w:val="00E45AF1"/>
    <w:pPr>
      <w:spacing w:before="120"/>
    </w:pPr>
    <w:rPr>
      <w:rFonts w:ascii="Arial" w:hAnsi="Arial"/>
      <w:sz w:val="18"/>
      <w:szCs w:val="20"/>
      <w:lang w:eastAsia="en-GB"/>
    </w:rPr>
  </w:style>
  <w:style w:type="paragraph" w:styleId="a4">
    <w:name w:val="header"/>
    <w:basedOn w:val="a"/>
    <w:link w:val="a5"/>
    <w:uiPriority w:val="99"/>
    <w:unhideWhenUsed/>
    <w:rsid w:val="00D97247"/>
    <w:pPr>
      <w:tabs>
        <w:tab w:val="center" w:pos="4677"/>
        <w:tab w:val="right" w:pos="9355"/>
      </w:tabs>
    </w:pPr>
  </w:style>
  <w:style w:type="character" w:customStyle="1" w:styleId="a5">
    <w:name w:val="Верхний колонтитул Знак"/>
    <w:basedOn w:val="a0"/>
    <w:link w:val="a4"/>
    <w:uiPriority w:val="99"/>
    <w:rsid w:val="00D97247"/>
    <w:rPr>
      <w:rFonts w:ascii="Times New Roman" w:eastAsia="Times New Roman" w:hAnsi="Times New Roman" w:cs="Times New Roman"/>
      <w:sz w:val="24"/>
      <w:szCs w:val="24"/>
      <w:lang w:val="en-GB"/>
    </w:rPr>
  </w:style>
  <w:style w:type="paragraph" w:styleId="a6">
    <w:name w:val="footer"/>
    <w:basedOn w:val="a"/>
    <w:link w:val="a7"/>
    <w:uiPriority w:val="99"/>
    <w:unhideWhenUsed/>
    <w:rsid w:val="00D97247"/>
    <w:pPr>
      <w:tabs>
        <w:tab w:val="center" w:pos="4677"/>
        <w:tab w:val="right" w:pos="9355"/>
      </w:tabs>
    </w:pPr>
  </w:style>
  <w:style w:type="character" w:customStyle="1" w:styleId="a7">
    <w:name w:val="Нижний колонтитул Знак"/>
    <w:basedOn w:val="a0"/>
    <w:link w:val="a6"/>
    <w:uiPriority w:val="99"/>
    <w:rsid w:val="00D97247"/>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AF1"/>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SBNormalnpara">
    <w:name w:val="IASB Normal npara"/>
    <w:basedOn w:val="a"/>
    <w:rsid w:val="00E45AF1"/>
    <w:pPr>
      <w:spacing w:before="100"/>
      <w:ind w:left="782" w:hanging="782"/>
      <w:jc w:val="both"/>
    </w:pPr>
    <w:rPr>
      <w:sz w:val="19"/>
      <w:szCs w:val="20"/>
      <w:lang w:val="en-US"/>
    </w:rPr>
  </w:style>
  <w:style w:type="paragraph" w:customStyle="1" w:styleId="IASBSectionTitle1Ind">
    <w:name w:val="IASB Section Title 1 Ind"/>
    <w:basedOn w:val="a"/>
    <w:rsid w:val="00E45AF1"/>
    <w:pPr>
      <w:keepNext/>
      <w:keepLines/>
      <w:pBdr>
        <w:bottom w:val="single" w:sz="4" w:space="0" w:color="auto"/>
      </w:pBdr>
      <w:spacing w:before="400" w:after="200"/>
      <w:ind w:left="782"/>
    </w:pPr>
    <w:rPr>
      <w:rFonts w:ascii="Arial" w:hAnsi="Arial" w:cs="Arial"/>
      <w:b/>
      <w:sz w:val="26"/>
      <w:szCs w:val="20"/>
      <w:lang w:val="en-US"/>
    </w:rPr>
  </w:style>
  <w:style w:type="paragraph" w:customStyle="1" w:styleId="IASBSectionTitle1NonInd">
    <w:name w:val="IASB Section Title 1 NonInd"/>
    <w:basedOn w:val="a"/>
    <w:rsid w:val="00E45AF1"/>
    <w:pPr>
      <w:keepNext/>
      <w:keepLines/>
      <w:pBdr>
        <w:bottom w:val="single" w:sz="4" w:space="0" w:color="auto"/>
      </w:pBdr>
      <w:spacing w:before="400" w:after="200"/>
    </w:pPr>
    <w:rPr>
      <w:rFonts w:ascii="Arial" w:hAnsi="Arial" w:cs="Arial"/>
      <w:b/>
      <w:sz w:val="26"/>
      <w:szCs w:val="20"/>
      <w:lang w:val="en-US"/>
    </w:rPr>
  </w:style>
  <w:style w:type="paragraph" w:customStyle="1" w:styleId="IASBSectionTitle2NonInd">
    <w:name w:val="IASB Section Title 2 NonInd"/>
    <w:basedOn w:val="a"/>
    <w:rsid w:val="00E45AF1"/>
    <w:pPr>
      <w:keepNext/>
      <w:keepLines/>
      <w:spacing w:before="300" w:after="200"/>
    </w:pPr>
    <w:rPr>
      <w:rFonts w:ascii="Arial" w:hAnsi="Arial" w:cs="Arial"/>
      <w:b/>
      <w:sz w:val="26"/>
      <w:szCs w:val="20"/>
      <w:lang w:val="en-US"/>
    </w:rPr>
  </w:style>
  <w:style w:type="paragraph" w:customStyle="1" w:styleId="IASBTitle">
    <w:name w:val="IASB Title"/>
    <w:rsid w:val="00E45AF1"/>
    <w:pPr>
      <w:keepNext/>
      <w:keepLines/>
      <w:spacing w:before="300" w:after="400" w:line="240" w:lineRule="auto"/>
    </w:pPr>
    <w:rPr>
      <w:rFonts w:ascii="Times New Roman" w:eastAsia="Times New Roman" w:hAnsi="Times New Roman" w:cs="Arial"/>
      <w:sz w:val="36"/>
      <w:szCs w:val="20"/>
      <w:lang w:val="en-US"/>
    </w:rPr>
  </w:style>
  <w:style w:type="paragraph" w:customStyle="1" w:styleId="IASBNormalnparaL1">
    <w:name w:val="IASB Normal nparaL1"/>
    <w:basedOn w:val="IASBNormalnpara"/>
    <w:rsid w:val="00E45AF1"/>
    <w:pPr>
      <w:ind w:left="1564"/>
    </w:pPr>
  </w:style>
  <w:style w:type="paragraph" w:customStyle="1" w:styleId="IASBNote">
    <w:name w:val="IASB Note"/>
    <w:basedOn w:val="a"/>
    <w:rsid w:val="00E45AF1"/>
    <w:pPr>
      <w:tabs>
        <w:tab w:val="left" w:pos="4253"/>
      </w:tabs>
      <w:spacing w:before="100" w:after="100"/>
      <w:jc w:val="both"/>
    </w:pPr>
    <w:rPr>
      <w:i/>
      <w:sz w:val="19"/>
      <w:szCs w:val="20"/>
      <w:lang w:val="en-US"/>
    </w:rPr>
  </w:style>
  <w:style w:type="character" w:styleId="a3">
    <w:name w:val="footnote reference"/>
    <w:uiPriority w:val="99"/>
    <w:semiHidden/>
    <w:unhideWhenUsed/>
    <w:rsid w:val="00E45AF1"/>
    <w:rPr>
      <w:vertAlign w:val="superscript"/>
    </w:rPr>
  </w:style>
  <w:style w:type="paragraph" w:customStyle="1" w:styleId="IASBNormalL1">
    <w:name w:val="IASB Normal L1"/>
    <w:basedOn w:val="IASBNormalnpara"/>
    <w:rsid w:val="00E45AF1"/>
  </w:style>
  <w:style w:type="paragraph" w:customStyle="1" w:styleId="IASBNormalnparaL2">
    <w:name w:val="IASB Normal nparaL2"/>
    <w:basedOn w:val="IASBNormalnparaL1"/>
    <w:rsid w:val="00E45AF1"/>
    <w:pPr>
      <w:ind w:left="2347"/>
    </w:pPr>
  </w:style>
  <w:style w:type="paragraph" w:customStyle="1" w:styleId="IASBNormalnparaL1P">
    <w:name w:val="IASB Normal nparaL1P"/>
    <w:basedOn w:val="IASBNormalnparaL2"/>
    <w:rsid w:val="00E45AF1"/>
    <w:pPr>
      <w:ind w:left="1565" w:firstLine="0"/>
    </w:pPr>
  </w:style>
  <w:style w:type="paragraph" w:customStyle="1" w:styleId="IASBNormalnparaL2P">
    <w:name w:val="IASB Normal nparaL2P"/>
    <w:basedOn w:val="IASBNormalnparaL1P"/>
    <w:rsid w:val="00E45AF1"/>
    <w:pPr>
      <w:ind w:left="2347"/>
    </w:pPr>
  </w:style>
  <w:style w:type="paragraph" w:customStyle="1" w:styleId="IASBTableArial">
    <w:name w:val="IASB Table Arial"/>
    <w:basedOn w:val="a"/>
    <w:rsid w:val="00E45AF1"/>
    <w:pPr>
      <w:spacing w:before="120"/>
    </w:pPr>
    <w:rPr>
      <w:rFonts w:ascii="Arial" w:hAnsi="Arial"/>
      <w:sz w:val="18"/>
      <w:szCs w:val="20"/>
      <w:lang w:eastAsia="en-GB"/>
    </w:rPr>
  </w:style>
  <w:style w:type="paragraph" w:styleId="a4">
    <w:name w:val="header"/>
    <w:basedOn w:val="a"/>
    <w:link w:val="a5"/>
    <w:uiPriority w:val="99"/>
    <w:unhideWhenUsed/>
    <w:rsid w:val="00D97247"/>
    <w:pPr>
      <w:tabs>
        <w:tab w:val="center" w:pos="4677"/>
        <w:tab w:val="right" w:pos="9355"/>
      </w:tabs>
    </w:pPr>
  </w:style>
  <w:style w:type="character" w:customStyle="1" w:styleId="a5">
    <w:name w:val="Верхний колонтитул Знак"/>
    <w:basedOn w:val="a0"/>
    <w:link w:val="a4"/>
    <w:uiPriority w:val="99"/>
    <w:rsid w:val="00D97247"/>
    <w:rPr>
      <w:rFonts w:ascii="Times New Roman" w:eastAsia="Times New Roman" w:hAnsi="Times New Roman" w:cs="Times New Roman"/>
      <w:sz w:val="24"/>
      <w:szCs w:val="24"/>
      <w:lang w:val="en-GB"/>
    </w:rPr>
  </w:style>
  <w:style w:type="paragraph" w:styleId="a6">
    <w:name w:val="footer"/>
    <w:basedOn w:val="a"/>
    <w:link w:val="a7"/>
    <w:uiPriority w:val="99"/>
    <w:unhideWhenUsed/>
    <w:rsid w:val="00D97247"/>
    <w:pPr>
      <w:tabs>
        <w:tab w:val="center" w:pos="4677"/>
        <w:tab w:val="right" w:pos="9355"/>
      </w:tabs>
    </w:pPr>
  </w:style>
  <w:style w:type="character" w:customStyle="1" w:styleId="a7">
    <w:name w:val="Нижний колонтитул Знак"/>
    <w:basedOn w:val="a0"/>
    <w:link w:val="a6"/>
    <w:uiPriority w:val="99"/>
    <w:rsid w:val="00D9724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901</Words>
  <Characters>5140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БАРИНОВА ГАЛИНА ВИКТОРОВНА</dc:creator>
  <cp:lastModifiedBy>БАРИНОВА ГАЛИНА ВИКТОРОВНА</cp:lastModifiedBy>
  <cp:revision>11</cp:revision>
  <cp:lastPrinted>2017-07-20T13:41:00Z</cp:lastPrinted>
  <dcterms:created xsi:type="dcterms:W3CDTF">2017-08-09T07:57:00Z</dcterms:created>
  <dcterms:modified xsi:type="dcterms:W3CDTF">2019-01-31T09:48:00Z</dcterms:modified>
</cp:coreProperties>
</file>