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B7281" w14:textId="77777777" w:rsidR="00FC6E12" w:rsidRDefault="00FC6E12" w:rsidP="00B90DD8">
      <w:pPr>
        <w:spacing w:after="120"/>
        <w:jc w:val="center"/>
        <w:rPr>
          <w:b/>
        </w:rPr>
      </w:pPr>
    </w:p>
    <w:p w14:paraId="589DA01C" w14:textId="77777777" w:rsidR="00FC6E12" w:rsidRDefault="00FC6E12" w:rsidP="00B90DD8">
      <w:pPr>
        <w:spacing w:after="120"/>
        <w:jc w:val="center"/>
        <w:rPr>
          <w:b/>
        </w:rPr>
      </w:pPr>
    </w:p>
    <w:p w14:paraId="3214427E" w14:textId="77777777" w:rsidR="00FC6E12" w:rsidRDefault="00FC6E12" w:rsidP="00B90DD8">
      <w:pPr>
        <w:spacing w:after="120"/>
        <w:jc w:val="center"/>
        <w:rPr>
          <w:b/>
        </w:rPr>
      </w:pPr>
    </w:p>
    <w:p w14:paraId="4E4799F7" w14:textId="77777777" w:rsidR="00FC6E12" w:rsidRDefault="00FC6E12" w:rsidP="00B90DD8">
      <w:pPr>
        <w:spacing w:after="120"/>
        <w:jc w:val="center"/>
        <w:rPr>
          <w:b/>
        </w:rPr>
      </w:pPr>
    </w:p>
    <w:p w14:paraId="2BEA696E" w14:textId="77777777" w:rsidR="00711CDD" w:rsidRPr="004D6F4F" w:rsidRDefault="00FC5391" w:rsidP="00B90DD8">
      <w:pPr>
        <w:spacing w:after="120"/>
        <w:jc w:val="center"/>
        <w:rPr>
          <w:b/>
        </w:rPr>
      </w:pPr>
      <w:r w:rsidRPr="004D6F4F">
        <w:rPr>
          <w:b/>
        </w:rPr>
        <w:t xml:space="preserve">Методические </w:t>
      </w:r>
      <w:r w:rsidR="00AE67EF" w:rsidRPr="002B2722">
        <w:rPr>
          <w:rFonts w:eastAsia="Calibri"/>
          <w:b/>
        </w:rPr>
        <w:t xml:space="preserve">рекомендации </w:t>
      </w:r>
      <w:r w:rsidR="00D47795">
        <w:rPr>
          <w:rFonts w:eastAsia="Calibri"/>
          <w:b/>
        </w:rPr>
        <w:t xml:space="preserve">по </w:t>
      </w:r>
      <w:r w:rsidR="00651C2C" w:rsidRPr="00651C2C">
        <w:rPr>
          <w:rFonts w:eastAsia="Calibri"/>
          <w:b/>
        </w:rPr>
        <w:t xml:space="preserve">рассмотрению ответственности руководства за подготовку финансовой отчетности, в том числе </w:t>
      </w:r>
      <w:r w:rsidR="00651C2C" w:rsidRPr="00AF12BD">
        <w:rPr>
          <w:rFonts w:eastAsia="Calibri"/>
          <w:b/>
          <w:highlight w:val="yellow"/>
        </w:rPr>
        <w:t>при смене руководства аудируемого лица</w:t>
      </w:r>
      <w:r w:rsidR="00651C2C" w:rsidRPr="00651C2C">
        <w:rPr>
          <w:rFonts w:eastAsia="Calibri"/>
          <w:b/>
        </w:rPr>
        <w:t>, при принятии аудиторского задания</w:t>
      </w:r>
    </w:p>
    <w:p w14:paraId="5ADB6C7D" w14:textId="77777777" w:rsidR="000B4D00" w:rsidRDefault="000B4D00" w:rsidP="00BF3071">
      <w:pPr>
        <w:pStyle w:val="2"/>
        <w:numPr>
          <w:ilvl w:val="0"/>
          <w:numId w:val="3"/>
        </w:numPr>
      </w:pPr>
      <w:r>
        <w:t xml:space="preserve">В соответствии с требованиями </w:t>
      </w:r>
      <w:r w:rsidRPr="00627E08">
        <w:t>МСА 210 "Согласование условий аудиторских заданий"</w:t>
      </w:r>
      <w:r>
        <w:t>, аудитор может принять задание на аудит только в том случае, если имеются обязательные условия для проведения аудита, указанные в п. 6 МСА 210, и аудитор и руководство организации достигли одинакового понимания условий задания. К</w:t>
      </w:r>
      <w:r w:rsidRPr="00F541DC">
        <w:t xml:space="preserve"> </w:t>
      </w:r>
      <w:r>
        <w:t xml:space="preserve">обязательным условиям для проведения аудита относится, в частности, </w:t>
      </w:r>
      <w:r w:rsidR="001360B8">
        <w:t xml:space="preserve">требование </w:t>
      </w:r>
      <w:r w:rsidR="001360B8" w:rsidRPr="001360B8">
        <w:t>получить согласие руководства о том, что оно подтверждает и осознает свою ответственность за подготовку финансовой отчетности</w:t>
      </w:r>
      <w:r w:rsidR="001360B8">
        <w:t xml:space="preserve"> в </w:t>
      </w:r>
      <w:r w:rsidR="001360B8" w:rsidRPr="001360B8">
        <w:t>соответствии с применимой концепцией п</w:t>
      </w:r>
      <w:r w:rsidR="001360B8">
        <w:t>одготовки финансовой отчетности</w:t>
      </w:r>
      <w:r w:rsidR="001360B8" w:rsidRPr="001360B8">
        <w:t xml:space="preserve"> </w:t>
      </w:r>
      <w:r w:rsidR="001360B8">
        <w:t xml:space="preserve">и </w:t>
      </w:r>
      <w:r w:rsidR="001360B8" w:rsidRPr="001360B8">
        <w:t>ее достоверное представление</w:t>
      </w:r>
      <w:r>
        <w:t>.</w:t>
      </w:r>
    </w:p>
    <w:p w14:paraId="2EDDD4D9" w14:textId="77777777" w:rsidR="001360B8" w:rsidRDefault="001360B8" w:rsidP="00BF3071">
      <w:pPr>
        <w:pStyle w:val="2"/>
        <w:numPr>
          <w:ilvl w:val="0"/>
          <w:numId w:val="3"/>
        </w:numPr>
      </w:pPr>
      <w:r>
        <w:t xml:space="preserve">Пункт A14 МСА 210 подчеркивает, </w:t>
      </w:r>
      <w:proofErr w:type="gramStart"/>
      <w:r>
        <w:t>что</w:t>
      </w:r>
      <w:proofErr w:type="gramEnd"/>
      <w:r>
        <w:t xml:space="preserve"> если руководство не подтвердит свои обязанности или не согласится исполнить необходимые заявления в письменном виде, аудитор будет лишен возможности собрать достаточное количество надлежащих аудиторских доказательств. Принимать предложение о выполнении аудита в таких обстоятельствах было бы неправильным, за исключением случаев, когда от аудитора требуют поступить таким образом соответствующий закон или нормативный акт. </w:t>
      </w:r>
    </w:p>
    <w:p w14:paraId="0F3B4FB8" w14:textId="77777777" w:rsidR="007A6889" w:rsidRDefault="007A6889" w:rsidP="00BF3071">
      <w:pPr>
        <w:pStyle w:val="2"/>
        <w:numPr>
          <w:ilvl w:val="0"/>
          <w:numId w:val="3"/>
        </w:numPr>
      </w:pPr>
      <w:r>
        <w:t xml:space="preserve">МСА 580 </w:t>
      </w:r>
      <w:r w:rsidRPr="007A6889">
        <w:t xml:space="preserve">"Письменные заявления" </w:t>
      </w:r>
      <w:r>
        <w:t xml:space="preserve">требует от аудитора запрашивать у руководства предоставление письменного заявления о том, что </w:t>
      </w:r>
      <w:r w:rsidRPr="007A6889">
        <w:t>оно выполнило свои обязанности по подготовке финансовой отчетности в соответствии с применимой концепцией подготовки финансовой отчетности</w:t>
      </w:r>
      <w:r>
        <w:t xml:space="preserve">.  </w:t>
      </w:r>
    </w:p>
    <w:p w14:paraId="716DF2DF" w14:textId="77777777" w:rsidR="004978F5" w:rsidRDefault="001360B8" w:rsidP="00BF3071">
      <w:pPr>
        <w:pStyle w:val="2"/>
        <w:numPr>
          <w:ilvl w:val="0"/>
          <w:numId w:val="3"/>
        </w:numPr>
      </w:pPr>
      <w:r w:rsidRPr="00AF12BD">
        <w:rPr>
          <w:highlight w:val="yellow"/>
        </w:rPr>
        <w:t>На практике встречается ситуация, когда аудиту подлежит отчетность, в подготовке которой действующее руководство участия не принимало (</w:t>
      </w:r>
      <w:r w:rsidR="008349EF" w:rsidRPr="00AF12BD">
        <w:rPr>
          <w:highlight w:val="yellow"/>
        </w:rPr>
        <w:t>в силу смены</w:t>
      </w:r>
      <w:r w:rsidRPr="00AF12BD">
        <w:rPr>
          <w:highlight w:val="yellow"/>
        </w:rPr>
        <w:t xml:space="preserve"> </w:t>
      </w:r>
      <w:r w:rsidR="008349EF" w:rsidRPr="00AF12BD">
        <w:rPr>
          <w:highlight w:val="yellow"/>
        </w:rPr>
        <w:t>единоличного исполнительного органа</w:t>
      </w:r>
      <w:r w:rsidRPr="00AF12BD">
        <w:rPr>
          <w:highlight w:val="yellow"/>
        </w:rPr>
        <w:t>,</w:t>
      </w:r>
      <w:r>
        <w:t xml:space="preserve"> </w:t>
      </w:r>
      <w:r w:rsidR="008349EF">
        <w:t>назначения конкурсного управляющего в результате введения процедур банкротства</w:t>
      </w:r>
      <w:r>
        <w:t xml:space="preserve"> и т.п.). </w:t>
      </w:r>
    </w:p>
    <w:p w14:paraId="220B5B96" w14:textId="1D0A0187" w:rsidR="007A6889" w:rsidRPr="001E3559" w:rsidRDefault="007A6889" w:rsidP="00BF3071">
      <w:pPr>
        <w:pStyle w:val="2"/>
        <w:numPr>
          <w:ilvl w:val="0"/>
          <w:numId w:val="3"/>
        </w:numPr>
        <w:rPr>
          <w:highlight w:val="yellow"/>
        </w:rPr>
      </w:pPr>
      <w:r w:rsidRPr="001E3559">
        <w:rPr>
          <w:highlight w:val="yellow"/>
        </w:rPr>
        <w:t xml:space="preserve">Тем не менее, </w:t>
      </w:r>
      <w:r w:rsidR="004978F5" w:rsidRPr="001E3559">
        <w:rPr>
          <w:highlight w:val="yellow"/>
        </w:rPr>
        <w:t xml:space="preserve">действующее </w:t>
      </w:r>
      <w:r w:rsidRPr="001E3559">
        <w:rPr>
          <w:highlight w:val="yellow"/>
        </w:rPr>
        <w:t>руководство организации обязано подтвердить свою ответственность за подготовку финансовой отчетности. В этом случае</w:t>
      </w:r>
      <w:r w:rsidR="004978F5" w:rsidRPr="001E3559">
        <w:rPr>
          <w:highlight w:val="yellow"/>
        </w:rPr>
        <w:t xml:space="preserve"> руководство может включи</w:t>
      </w:r>
      <w:r w:rsidRPr="001E3559">
        <w:rPr>
          <w:highlight w:val="yellow"/>
        </w:rPr>
        <w:t>ть</w:t>
      </w:r>
      <w:r w:rsidR="004978F5" w:rsidRPr="001E3559">
        <w:rPr>
          <w:highlight w:val="yellow"/>
        </w:rPr>
        <w:t xml:space="preserve"> в письменные заявления оговорку о том</w:t>
      </w:r>
      <w:r w:rsidRPr="001E3559">
        <w:rPr>
          <w:highlight w:val="yellow"/>
        </w:rPr>
        <w:t>, что его заявления сделаны в меру его осведомленности и отражают его мнение (см. п. А5 МСА 580). Аудитору целесообразно принять такую формулировку</w:t>
      </w:r>
      <w:r w:rsidR="00316CE2" w:rsidRPr="001E3559">
        <w:rPr>
          <w:highlight w:val="yellow"/>
        </w:rPr>
        <w:t xml:space="preserve">, если он убедился в том, </w:t>
      </w:r>
      <w:r w:rsidR="00316CE2" w:rsidRPr="001E3559">
        <w:rPr>
          <w:highlight w:val="yellow"/>
        </w:rPr>
        <w:lastRenderedPageBreak/>
        <w:t>что заявления сделаны лицами, которые исполняют надлежащие функции и обладают соответствующими знаниями по вопросам, включенным в заявления.</w:t>
      </w:r>
    </w:p>
    <w:p w14:paraId="0839FD16" w14:textId="77777777" w:rsidR="00126500" w:rsidRDefault="007A6889" w:rsidP="00BF3071">
      <w:pPr>
        <w:pStyle w:val="2"/>
        <w:numPr>
          <w:ilvl w:val="0"/>
          <w:numId w:val="3"/>
        </w:numPr>
      </w:pPr>
      <w:r>
        <w:t xml:space="preserve">При этом </w:t>
      </w:r>
      <w:r w:rsidRPr="007A6889">
        <w:t>предполагается, что руководство обладает достаточными знаниями о процессе подготовки финансовой отчетности в организации и предпосылках ее подготовки, чтобы на основе этих знаний предоставить письменные заявления</w:t>
      </w:r>
      <w:r>
        <w:t>.</w:t>
      </w:r>
    </w:p>
    <w:p w14:paraId="28C545A9" w14:textId="5A908381" w:rsidR="007A6889" w:rsidRPr="00AF12BD" w:rsidRDefault="00126500" w:rsidP="00BF3071">
      <w:pPr>
        <w:pStyle w:val="2"/>
        <w:numPr>
          <w:ilvl w:val="0"/>
          <w:numId w:val="3"/>
        </w:numPr>
        <w:rPr>
          <w:highlight w:val="yellow"/>
        </w:rPr>
      </w:pPr>
      <w:r w:rsidRPr="00AF12BD">
        <w:rPr>
          <w:highlight w:val="yellow"/>
        </w:rPr>
        <w:t xml:space="preserve">Аудитор должен отказаться от выражения мнения в отношении финансовой отчетности в соответствии с положениями </w:t>
      </w:r>
      <w:hyperlink r:id="rId8" w:history="1">
        <w:r w:rsidRPr="00AF12BD">
          <w:rPr>
            <w:highlight w:val="yellow"/>
          </w:rPr>
          <w:t>МСА 705</w:t>
        </w:r>
      </w:hyperlink>
      <w:r w:rsidR="000A0E03" w:rsidRPr="00AF12BD">
        <w:rPr>
          <w:highlight w:val="yellow"/>
        </w:rPr>
        <w:t xml:space="preserve"> «Модифицированное мнение в аудиторском заключении»</w:t>
      </w:r>
      <w:r w:rsidRPr="00AF12BD">
        <w:rPr>
          <w:highlight w:val="yellow"/>
        </w:rPr>
        <w:t>, если</w:t>
      </w:r>
      <w:r w:rsidR="000A0E03" w:rsidRPr="00AF12BD">
        <w:rPr>
          <w:highlight w:val="yellow"/>
        </w:rPr>
        <w:t xml:space="preserve"> </w:t>
      </w:r>
      <w:r w:rsidRPr="00AF12BD">
        <w:rPr>
          <w:highlight w:val="yellow"/>
        </w:rPr>
        <w:t xml:space="preserve">руководство не предоставило письменных заявлений, </w:t>
      </w:r>
      <w:r w:rsidR="000A0E03" w:rsidRPr="00AF12BD">
        <w:rPr>
          <w:highlight w:val="yellow"/>
        </w:rPr>
        <w:t xml:space="preserve">подтверждающих, что оно выполнило свои обязанности по подготовке финансовой отчетности в соответствии с применимой концепцией подготовки финансовой отчетности, включая, где это уместно, ее достоверное представление, как того требуют условия аудиторского задания (п. 20 МСА 580).  </w:t>
      </w:r>
    </w:p>
    <w:p w14:paraId="4AD14D55" w14:textId="77777777" w:rsidR="00C863D9" w:rsidRDefault="00C863D9" w:rsidP="00C863D9">
      <w:pPr>
        <w:pStyle w:val="2"/>
        <w:numPr>
          <w:ilvl w:val="0"/>
          <w:numId w:val="0"/>
        </w:numPr>
        <w:ind w:left="360"/>
      </w:pPr>
      <w:bookmarkStart w:id="0" w:name="_GoBack"/>
      <w:bookmarkEnd w:id="0"/>
    </w:p>
    <w:p w14:paraId="1A93D9F4" w14:textId="3A70DE86" w:rsidR="00C863D9" w:rsidRPr="00C863D9" w:rsidRDefault="00C863D9" w:rsidP="00C863D9">
      <w:pPr>
        <w:pStyle w:val="a"/>
        <w:numPr>
          <w:ilvl w:val="0"/>
          <w:numId w:val="0"/>
        </w:numPr>
        <w:ind w:left="720"/>
      </w:pPr>
      <w:r w:rsidRPr="00C863D9">
        <w:t xml:space="preserve">Настоящий </w:t>
      </w:r>
      <w:r w:rsidR="00EC6C53">
        <w:t>документ</w:t>
      </w:r>
      <w:r w:rsidRPr="00C863D9">
        <w:t xml:space="preserve"> подготовлен Комитетом по стандартизации и методологии аудиторской деятельности СРО ААС и имеет рекомендательный характер. Ответственность за применение </w:t>
      </w:r>
      <w:r w:rsidR="00EC6C53">
        <w:t>документа</w:t>
      </w:r>
      <w:r w:rsidRPr="00C863D9">
        <w:t xml:space="preserve"> лежит на аудиторской организации (аудиторе), члене СРО ААС. Член СРО ААС вправе применять иные документ</w:t>
      </w:r>
      <w:r w:rsidR="00EC6C53">
        <w:t>ы</w:t>
      </w:r>
      <w:r w:rsidRPr="00C863D9">
        <w:t>, соответствующи</w:t>
      </w:r>
      <w:r w:rsidR="00EC6C53">
        <w:t>е</w:t>
      </w:r>
      <w:r w:rsidRPr="00C863D9">
        <w:t xml:space="preserve"> требованиям законодательства Российской Федерации об аудиторской деятельности. Позиция Комитета СРО ААС не может рассматриваться как официальное толкование требований нормативных правовых актов, заменяющее собственное профессиональное суждение аудитора.</w:t>
      </w:r>
    </w:p>
    <w:p w14:paraId="66E281A1" w14:textId="77777777" w:rsidR="00C863D9" w:rsidRPr="00C863D9" w:rsidRDefault="00C863D9" w:rsidP="00C863D9">
      <w:pPr>
        <w:pStyle w:val="2"/>
        <w:numPr>
          <w:ilvl w:val="0"/>
          <w:numId w:val="0"/>
        </w:numPr>
        <w:ind w:left="1440" w:hanging="360"/>
        <w:rPr>
          <w:sz w:val="22"/>
          <w:szCs w:val="22"/>
        </w:rPr>
      </w:pPr>
    </w:p>
    <w:sectPr w:rsidR="00C863D9" w:rsidRPr="00C863D9" w:rsidSect="00D1187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37D98" w14:textId="77777777" w:rsidR="002D7168" w:rsidRDefault="002D7168" w:rsidP="005C5E90">
      <w:r>
        <w:separator/>
      </w:r>
    </w:p>
    <w:p w14:paraId="5BA5F108" w14:textId="77777777" w:rsidR="002D7168" w:rsidRDefault="002D7168"/>
  </w:endnote>
  <w:endnote w:type="continuationSeparator" w:id="0">
    <w:p w14:paraId="4CF25E2B" w14:textId="77777777" w:rsidR="002D7168" w:rsidRDefault="002D7168" w:rsidP="005C5E90">
      <w:r>
        <w:continuationSeparator/>
      </w:r>
    </w:p>
    <w:p w14:paraId="0913822C" w14:textId="77777777" w:rsidR="002D7168" w:rsidRDefault="002D7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84199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14:paraId="299BA899" w14:textId="1C7C361A" w:rsidR="00660F8A" w:rsidRPr="00F90257" w:rsidRDefault="00660F8A">
        <w:pPr>
          <w:pStyle w:val="af0"/>
          <w:jc w:val="right"/>
          <w:rPr>
            <w:rFonts w:asciiTheme="minorHAnsi" w:hAnsiTheme="minorHAnsi"/>
            <w:sz w:val="22"/>
          </w:rPr>
        </w:pPr>
        <w:r w:rsidRPr="00F90257">
          <w:rPr>
            <w:rFonts w:asciiTheme="minorHAnsi" w:hAnsiTheme="minorHAnsi"/>
            <w:sz w:val="22"/>
          </w:rPr>
          <w:fldChar w:fldCharType="begin"/>
        </w:r>
        <w:r w:rsidRPr="00F90257">
          <w:rPr>
            <w:rFonts w:asciiTheme="minorHAnsi" w:hAnsiTheme="minorHAnsi"/>
            <w:sz w:val="22"/>
          </w:rPr>
          <w:instrText>PAGE   \* MERGEFORMAT</w:instrText>
        </w:r>
        <w:r w:rsidRPr="00F90257">
          <w:rPr>
            <w:rFonts w:asciiTheme="minorHAnsi" w:hAnsiTheme="minorHAnsi"/>
            <w:sz w:val="22"/>
          </w:rPr>
          <w:fldChar w:fldCharType="separate"/>
        </w:r>
        <w:r w:rsidR="00AF12BD">
          <w:rPr>
            <w:rFonts w:asciiTheme="minorHAnsi" w:hAnsiTheme="minorHAnsi"/>
            <w:noProof/>
            <w:sz w:val="22"/>
          </w:rPr>
          <w:t>2</w:t>
        </w:r>
        <w:r w:rsidRPr="00F90257">
          <w:rPr>
            <w:rFonts w:asciiTheme="minorHAnsi" w:hAnsiTheme="minorHAnsi"/>
            <w:sz w:val="22"/>
          </w:rPr>
          <w:fldChar w:fldCharType="end"/>
        </w:r>
      </w:p>
    </w:sdtContent>
  </w:sdt>
  <w:p w14:paraId="539FC3A8" w14:textId="77777777" w:rsidR="00660F8A" w:rsidRDefault="00660F8A" w:rsidP="005C5E90">
    <w:pPr>
      <w:pStyle w:val="af0"/>
    </w:pPr>
  </w:p>
  <w:p w14:paraId="3321E836" w14:textId="77777777" w:rsidR="00AA63C5" w:rsidRDefault="00AA63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9E5DA" w14:textId="77777777" w:rsidR="002D7168" w:rsidRDefault="002D7168" w:rsidP="005C5E90">
      <w:r>
        <w:separator/>
      </w:r>
    </w:p>
    <w:p w14:paraId="00C3DCB4" w14:textId="77777777" w:rsidR="002D7168" w:rsidRDefault="002D7168"/>
  </w:footnote>
  <w:footnote w:type="continuationSeparator" w:id="0">
    <w:p w14:paraId="308A6E65" w14:textId="77777777" w:rsidR="002D7168" w:rsidRDefault="002D7168" w:rsidP="005C5E90">
      <w:r>
        <w:continuationSeparator/>
      </w:r>
    </w:p>
    <w:p w14:paraId="49B9EFD5" w14:textId="77777777" w:rsidR="002D7168" w:rsidRDefault="002D7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693"/>
    <w:multiLevelType w:val="hybridMultilevel"/>
    <w:tmpl w:val="1E62F182"/>
    <w:lvl w:ilvl="0" w:tplc="FBCED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FCEE28">
      <w:numFmt w:val="bullet"/>
      <w:pStyle w:val="2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94A19"/>
    <w:multiLevelType w:val="multilevel"/>
    <w:tmpl w:val="CE760F9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9210C"/>
    <w:multiLevelType w:val="multilevel"/>
    <w:tmpl w:val="1C10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006D0B"/>
    <w:multiLevelType w:val="hybridMultilevel"/>
    <w:tmpl w:val="4A121B4E"/>
    <w:lvl w:ilvl="0" w:tplc="FBCED40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DD"/>
    <w:rsid w:val="00015C31"/>
    <w:rsid w:val="0004097B"/>
    <w:rsid w:val="00086E22"/>
    <w:rsid w:val="00086F7C"/>
    <w:rsid w:val="000A0E03"/>
    <w:rsid w:val="000A373B"/>
    <w:rsid w:val="000B4D00"/>
    <w:rsid w:val="000C049F"/>
    <w:rsid w:val="000C3F1D"/>
    <w:rsid w:val="000E0AB9"/>
    <w:rsid w:val="00106B49"/>
    <w:rsid w:val="001120A5"/>
    <w:rsid w:val="00112245"/>
    <w:rsid w:val="00126500"/>
    <w:rsid w:val="001360B8"/>
    <w:rsid w:val="00146DDD"/>
    <w:rsid w:val="00152DF7"/>
    <w:rsid w:val="0017040F"/>
    <w:rsid w:val="001D4ADA"/>
    <w:rsid w:val="001E1505"/>
    <w:rsid w:val="001E228B"/>
    <w:rsid w:val="001E3559"/>
    <w:rsid w:val="00214F9F"/>
    <w:rsid w:val="00217B7F"/>
    <w:rsid w:val="002268A8"/>
    <w:rsid w:val="0022706B"/>
    <w:rsid w:val="00242770"/>
    <w:rsid w:val="00242A18"/>
    <w:rsid w:val="00281CE2"/>
    <w:rsid w:val="00282ADD"/>
    <w:rsid w:val="002A2650"/>
    <w:rsid w:val="002A6E33"/>
    <w:rsid w:val="002B0C8E"/>
    <w:rsid w:val="002B3F54"/>
    <w:rsid w:val="002D659C"/>
    <w:rsid w:val="002D7168"/>
    <w:rsid w:val="002E473B"/>
    <w:rsid w:val="002F2E94"/>
    <w:rsid w:val="00306790"/>
    <w:rsid w:val="00307AA0"/>
    <w:rsid w:val="00316CE2"/>
    <w:rsid w:val="00331650"/>
    <w:rsid w:val="00334FCC"/>
    <w:rsid w:val="0035387A"/>
    <w:rsid w:val="00357A79"/>
    <w:rsid w:val="003748C3"/>
    <w:rsid w:val="00380283"/>
    <w:rsid w:val="003805B0"/>
    <w:rsid w:val="00380D37"/>
    <w:rsid w:val="003811EC"/>
    <w:rsid w:val="00383461"/>
    <w:rsid w:val="003A2F02"/>
    <w:rsid w:val="003A4EF0"/>
    <w:rsid w:val="003A7BC9"/>
    <w:rsid w:val="003C405C"/>
    <w:rsid w:val="003C4972"/>
    <w:rsid w:val="003C5E13"/>
    <w:rsid w:val="003E2B31"/>
    <w:rsid w:val="003E7BA2"/>
    <w:rsid w:val="004013B5"/>
    <w:rsid w:val="00402197"/>
    <w:rsid w:val="004039F9"/>
    <w:rsid w:val="00413D55"/>
    <w:rsid w:val="0041576E"/>
    <w:rsid w:val="004261FC"/>
    <w:rsid w:val="0043798E"/>
    <w:rsid w:val="00446D86"/>
    <w:rsid w:val="00470902"/>
    <w:rsid w:val="0047343B"/>
    <w:rsid w:val="004742EA"/>
    <w:rsid w:val="00476F4F"/>
    <w:rsid w:val="0048226C"/>
    <w:rsid w:val="00482D1A"/>
    <w:rsid w:val="00490717"/>
    <w:rsid w:val="004978F5"/>
    <w:rsid w:val="004A56DE"/>
    <w:rsid w:val="004D114C"/>
    <w:rsid w:val="004D6F4F"/>
    <w:rsid w:val="0051309F"/>
    <w:rsid w:val="00516C8C"/>
    <w:rsid w:val="005373D7"/>
    <w:rsid w:val="005866E8"/>
    <w:rsid w:val="00587333"/>
    <w:rsid w:val="00595D2D"/>
    <w:rsid w:val="005A0CD0"/>
    <w:rsid w:val="005A2EA1"/>
    <w:rsid w:val="005C0E88"/>
    <w:rsid w:val="005C5E90"/>
    <w:rsid w:val="00611F8A"/>
    <w:rsid w:val="006170F2"/>
    <w:rsid w:val="00627E08"/>
    <w:rsid w:val="00636FEA"/>
    <w:rsid w:val="00637BFF"/>
    <w:rsid w:val="00640E11"/>
    <w:rsid w:val="00641C36"/>
    <w:rsid w:val="00651C2C"/>
    <w:rsid w:val="006562D4"/>
    <w:rsid w:val="00660F8A"/>
    <w:rsid w:val="00670111"/>
    <w:rsid w:val="0067426A"/>
    <w:rsid w:val="00681FED"/>
    <w:rsid w:val="00683944"/>
    <w:rsid w:val="00693132"/>
    <w:rsid w:val="006959B7"/>
    <w:rsid w:val="006C666F"/>
    <w:rsid w:val="006D5E70"/>
    <w:rsid w:val="006E0C11"/>
    <w:rsid w:val="006F4ED4"/>
    <w:rsid w:val="0070444B"/>
    <w:rsid w:val="00711CDD"/>
    <w:rsid w:val="00734874"/>
    <w:rsid w:val="007A6889"/>
    <w:rsid w:val="007D1D7D"/>
    <w:rsid w:val="007D530D"/>
    <w:rsid w:val="007D6CA1"/>
    <w:rsid w:val="007E3CFE"/>
    <w:rsid w:val="007F05EE"/>
    <w:rsid w:val="007F30AC"/>
    <w:rsid w:val="007F44A5"/>
    <w:rsid w:val="00807E00"/>
    <w:rsid w:val="008117F6"/>
    <w:rsid w:val="008349EF"/>
    <w:rsid w:val="00850DA1"/>
    <w:rsid w:val="00876050"/>
    <w:rsid w:val="00895FBE"/>
    <w:rsid w:val="008A09C8"/>
    <w:rsid w:val="008A7F74"/>
    <w:rsid w:val="008C5ACD"/>
    <w:rsid w:val="008E4791"/>
    <w:rsid w:val="008F33DD"/>
    <w:rsid w:val="00915586"/>
    <w:rsid w:val="00916486"/>
    <w:rsid w:val="009423E3"/>
    <w:rsid w:val="009554CA"/>
    <w:rsid w:val="009701A8"/>
    <w:rsid w:val="009719AF"/>
    <w:rsid w:val="00973937"/>
    <w:rsid w:val="009864D1"/>
    <w:rsid w:val="00991893"/>
    <w:rsid w:val="009D40D2"/>
    <w:rsid w:val="009F0DBF"/>
    <w:rsid w:val="00A1570C"/>
    <w:rsid w:val="00A2084C"/>
    <w:rsid w:val="00A236D9"/>
    <w:rsid w:val="00A35882"/>
    <w:rsid w:val="00A62F55"/>
    <w:rsid w:val="00A6703B"/>
    <w:rsid w:val="00AA63C5"/>
    <w:rsid w:val="00AB03AA"/>
    <w:rsid w:val="00AB1D05"/>
    <w:rsid w:val="00AC4CE1"/>
    <w:rsid w:val="00AC7B80"/>
    <w:rsid w:val="00AD0FE3"/>
    <w:rsid w:val="00AD285E"/>
    <w:rsid w:val="00AE0873"/>
    <w:rsid w:val="00AE67EF"/>
    <w:rsid w:val="00AF12BD"/>
    <w:rsid w:val="00B3788A"/>
    <w:rsid w:val="00B40156"/>
    <w:rsid w:val="00B62D17"/>
    <w:rsid w:val="00B66AEF"/>
    <w:rsid w:val="00B8563C"/>
    <w:rsid w:val="00B90DD8"/>
    <w:rsid w:val="00BA47D4"/>
    <w:rsid w:val="00BC40DF"/>
    <w:rsid w:val="00BC6225"/>
    <w:rsid w:val="00BE7BB0"/>
    <w:rsid w:val="00BF3071"/>
    <w:rsid w:val="00C11456"/>
    <w:rsid w:val="00C1247E"/>
    <w:rsid w:val="00C460D8"/>
    <w:rsid w:val="00C637CE"/>
    <w:rsid w:val="00C863D9"/>
    <w:rsid w:val="00CF2088"/>
    <w:rsid w:val="00D00690"/>
    <w:rsid w:val="00D1187A"/>
    <w:rsid w:val="00D1270F"/>
    <w:rsid w:val="00D3321E"/>
    <w:rsid w:val="00D40DA2"/>
    <w:rsid w:val="00D47795"/>
    <w:rsid w:val="00D77949"/>
    <w:rsid w:val="00DA2907"/>
    <w:rsid w:val="00DA41E7"/>
    <w:rsid w:val="00DB058E"/>
    <w:rsid w:val="00DB1E7D"/>
    <w:rsid w:val="00DE4FE7"/>
    <w:rsid w:val="00E026D1"/>
    <w:rsid w:val="00E1749F"/>
    <w:rsid w:val="00E27BC3"/>
    <w:rsid w:val="00E36A36"/>
    <w:rsid w:val="00E37EE9"/>
    <w:rsid w:val="00E567AB"/>
    <w:rsid w:val="00E91279"/>
    <w:rsid w:val="00EC6C53"/>
    <w:rsid w:val="00EC7F89"/>
    <w:rsid w:val="00EE4938"/>
    <w:rsid w:val="00F1384E"/>
    <w:rsid w:val="00F30C32"/>
    <w:rsid w:val="00F36B75"/>
    <w:rsid w:val="00F41957"/>
    <w:rsid w:val="00F541DC"/>
    <w:rsid w:val="00F90257"/>
    <w:rsid w:val="00F961A1"/>
    <w:rsid w:val="00FA1C3E"/>
    <w:rsid w:val="00FA3888"/>
    <w:rsid w:val="00FC5391"/>
    <w:rsid w:val="00FC6E12"/>
    <w:rsid w:val="00FD2BFD"/>
    <w:rsid w:val="00FE113A"/>
    <w:rsid w:val="00FE76F9"/>
    <w:rsid w:val="00FF3604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343AE"/>
  <w15:docId w15:val="{3944E9CC-87EF-445C-9076-92D6583C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5E9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0">
    <w:name w:val="heading 1"/>
    <w:basedOn w:val="a"/>
    <w:next w:val="a0"/>
    <w:link w:val="11"/>
    <w:uiPriority w:val="9"/>
    <w:qFormat/>
    <w:rsid w:val="00BC6225"/>
    <w:pPr>
      <w:spacing w:before="120"/>
      <w:ind w:left="720" w:hanging="360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B90DD8"/>
    <w:pPr>
      <w:numPr>
        <w:numId w:val="2"/>
      </w:numPr>
      <w:tabs>
        <w:tab w:val="left" w:pos="851"/>
      </w:tabs>
      <w:spacing w:after="120"/>
      <w:ind w:left="0" w:firstLine="360"/>
    </w:pPr>
  </w:style>
  <w:style w:type="paragraph" w:styleId="a5">
    <w:name w:val="Balloon Text"/>
    <w:basedOn w:val="a0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pPr>
      <w:numPr>
        <w:numId w:val="1"/>
      </w:numPr>
    </w:pPr>
  </w:style>
  <w:style w:type="character" w:styleId="a7">
    <w:name w:val="annotation reference"/>
    <w:basedOn w:val="a1"/>
    <w:uiPriority w:val="99"/>
    <w:semiHidden/>
    <w:unhideWhenUsed/>
    <w:rsid w:val="005373D7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5373D7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5373D7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73D7"/>
    <w:rPr>
      <w:b/>
      <w:bCs/>
    </w:rPr>
  </w:style>
  <w:style w:type="paragraph" w:styleId="ac">
    <w:name w:val="Body Text"/>
    <w:basedOn w:val="a0"/>
    <w:link w:val="ad"/>
    <w:uiPriority w:val="99"/>
    <w:semiHidden/>
    <w:unhideWhenUsed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</w:style>
  <w:style w:type="character" w:customStyle="1" w:styleId="ab">
    <w:name w:val="Тема примечания Знак"/>
    <w:basedOn w:val="a9"/>
    <w:link w:val="aa"/>
    <w:uiPriority w:val="99"/>
    <w:semiHidden/>
    <w:rsid w:val="005373D7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header"/>
    <w:basedOn w:val="a0"/>
    <w:link w:val="af"/>
    <w:uiPriority w:val="99"/>
    <w:unhideWhenUsed/>
    <w:rsid w:val="002268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268A8"/>
  </w:style>
  <w:style w:type="paragraph" w:styleId="af0">
    <w:name w:val="footer"/>
    <w:basedOn w:val="a0"/>
    <w:link w:val="af1"/>
    <w:uiPriority w:val="99"/>
    <w:unhideWhenUsed/>
    <w:rsid w:val="002268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2268A8"/>
  </w:style>
  <w:style w:type="character" w:customStyle="1" w:styleId="a4">
    <w:name w:val="Абзац списка Знак"/>
    <w:link w:val="a"/>
    <w:uiPriority w:val="34"/>
    <w:rsid w:val="00B90DD8"/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1 Знак"/>
    <w:basedOn w:val="a1"/>
    <w:link w:val="10"/>
    <w:uiPriority w:val="9"/>
    <w:rsid w:val="00BC6225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Абзац списка2"/>
    <w:basedOn w:val="a"/>
    <w:qFormat/>
    <w:rsid w:val="00B90DD8"/>
    <w:pPr>
      <w:numPr>
        <w:ilvl w:val="1"/>
        <w:numId w:val="3"/>
      </w:numPr>
      <w:tabs>
        <w:tab w:val="clear" w:pos="851"/>
        <w:tab w:val="left" w:pos="1134"/>
      </w:tabs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23C69C5C2D78372A49F186AC6AA91FED35B6A9E0DE84703DE1357726CFC5B45212F3AE39B107482CE4B03D9QCR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DC63-D1F2-44B0-9DEC-E7599B9F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Kargina, Evgenia</dc:creator>
  <cp:keywords/>
  <dc:description/>
  <cp:lastModifiedBy>User</cp:lastModifiedBy>
  <cp:revision>2</cp:revision>
  <dcterms:created xsi:type="dcterms:W3CDTF">2021-06-09T05:38:00Z</dcterms:created>
  <dcterms:modified xsi:type="dcterms:W3CDTF">2021-06-09T05:38:00Z</dcterms:modified>
</cp:coreProperties>
</file>