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4" w:rsidRDefault="00723F44" w:rsidP="003D61B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</w:rPr>
        <w:t>З-н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о банках</w:t>
      </w:r>
    </w:p>
    <w:p w:rsidR="00723F44" w:rsidRDefault="00723F44" w:rsidP="00723F44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Статья 4. Банковская группа и банковский холдинг</w:t>
      </w:r>
    </w:p>
    <w:p w:rsidR="00723F44" w:rsidRDefault="00723F44" w:rsidP="00723F44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A61AF5">
        <w:rPr>
          <w:rFonts w:ascii="Verdana" w:hAnsi="Verdana"/>
          <w:sz w:val="21"/>
          <w:szCs w:val="21"/>
          <w:highlight w:val="yellow"/>
        </w:rPr>
        <w:t>В целях настоящего Федерального закона банковской группой признается не являющееся юридическим лицом объединение юридических лиц, в котором одно юридическое лицо или несколько юридических лиц (далее - участники банковской группы) находятся под контролем либо значительным влиянием одной кредитной организации (далее - головная кредитная организация банковской группы).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hyperlink r:id="rId4" w:history="1">
        <w:r w:rsidRPr="00A61AF5">
          <w:rPr>
            <w:rFonts w:ascii="Verdana" w:eastAsia="Times New Roman" w:hAnsi="Verdana" w:cs="Times New Roman"/>
            <w:color w:val="000000"/>
            <w:sz w:val="21"/>
            <w:highlight w:val="yellow"/>
          </w:rPr>
          <w:t>Контроль</w:t>
        </w:r>
      </w:hyperlink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 и </w:t>
      </w:r>
      <w:hyperlink r:id="rId5" w:tooltip="&quot;Международный стандарт финансовой отчетности (IAS) 28 &quot;Инвестиции в ассоциированные организации и совместные предприятия&quot;&#10;(введен в действие на территории Российской Федерации приказом Минфина России от 28.12.2015 N 217н)&#10;(ред. от 27.06.2016)" w:history="1">
        <w:r w:rsidRPr="00A61AF5">
          <w:rPr>
            <w:rFonts w:ascii="Verdana" w:eastAsia="Times New Roman" w:hAnsi="Verdana" w:cs="Times New Roman"/>
            <w:color w:val="000000"/>
            <w:sz w:val="21"/>
            <w:highlight w:val="yellow"/>
          </w:rPr>
          <w:t>значительное влияние</w:t>
        </w:r>
      </w:hyperlink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 для определения участников банковской группы (банковского холдинга) и составления отчетности, установленной настоящим Федеральным законом, определяются в соответствии с Международными стандартами финансовой отчетности (далее - МСФО), признанными на территории Российской Федерации.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Головная кредитная организация банковской группы, головная организация банковского холдинга уведомляют Банк России об образовании банковской группы, банковского холдинга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, о создании управляющей компании банковского холдинга и предоставленных ей полномочиях. </w:t>
      </w:r>
      <w:hyperlink r:id="rId6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Порядок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 xml:space="preserve"> такого уведомления устанавливается Банком России.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Arial" w:eastAsia="Times New Roman" w:hAnsi="Arial" w:cs="Arial"/>
          <w:b/>
          <w:bCs/>
          <w:sz w:val="21"/>
          <w:szCs w:val="21"/>
        </w:rPr>
        <w:t>Статья 42. Аудит отчетности кредитной организации, банковской группы, банковского холдинга</w:t>
      </w:r>
    </w:p>
    <w:p w:rsidR="00723F44" w:rsidRPr="00723F44" w:rsidRDefault="00723F44" w:rsidP="00723F44">
      <w:pPr>
        <w:spacing w:after="0" w:line="264" w:lineRule="auto"/>
        <w:ind w:firstLine="547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723F44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7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723F44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01.12.2014 N 403-ФЗ)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> 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Годовая бухгалтерская (финансовая) отчетность кредитной организации, годовая консолидированная финансовая отчетность банковской группы, годовая консолидированная финансовая отчетность банковского холдинга подлежат обязательному аудиту.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 xml:space="preserve">Аудиторское заключение о годовой бухгалтерской (финансовой) отчетности кредитной организации, годовой консолидированной финансовой отчетности банковской группы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помимо предусмотренного Федеральным </w:t>
      </w:r>
      <w:hyperlink r:id="rId8" w:history="1">
        <w:r w:rsidRPr="00A61AF5">
          <w:rPr>
            <w:rFonts w:ascii="Verdana" w:eastAsia="Times New Roman" w:hAnsi="Verdana" w:cs="Times New Roman"/>
            <w:color w:val="000000"/>
            <w:sz w:val="21"/>
            <w:highlight w:val="yellow"/>
          </w:rPr>
          <w:t>законом</w:t>
        </w:r>
      </w:hyperlink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 от 30 декабря 2008 года N 307-ФЗ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 "Об аудиторской деятельности" должно содержать результаты проверки аудиторской организацией: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 xml:space="preserve">1)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выполнения кредитной организацией, банковской группой по состоянию на отчетную дату обязательных нормативов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, установленных Банком России. </w:t>
      </w:r>
      <w:proofErr w:type="gramStart"/>
      <w:r w:rsidRPr="00723F44">
        <w:rPr>
          <w:rFonts w:ascii="Verdana" w:eastAsia="Times New Roman" w:hAnsi="Verdana" w:cs="Times New Roman"/>
          <w:sz w:val="21"/>
          <w:szCs w:val="21"/>
        </w:rPr>
        <w:t xml:space="preserve">При этом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оценке аудиторской организацией не подлежат методики управления рисками и модели количественной оценки рисков, применяемые для расчета указанных обязательных нормативо</w:t>
      </w:r>
      <w:r w:rsidRPr="00723F44">
        <w:rPr>
          <w:rFonts w:ascii="Verdana" w:eastAsia="Times New Roman" w:hAnsi="Verdana" w:cs="Times New Roman"/>
          <w:sz w:val="21"/>
          <w:szCs w:val="21"/>
        </w:rPr>
        <w:t>в кредитной организацией, головной кредитной организацией банковской группы на основании выданного Банком России разрешения;</w:t>
      </w:r>
      <w:proofErr w:type="gramEnd"/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 xml:space="preserve">2)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соответствия внутреннего контроля и организации систем управления рисками кредитной организации, банковской группы требованиям, предъявляемым Банком России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 к таким системам в части: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подчиненности подразделений управления рисками</w:t>
      </w:r>
      <w:r w:rsidRPr="00723F44">
        <w:rPr>
          <w:rFonts w:ascii="Verdana" w:eastAsia="Times New Roman" w:hAnsi="Verdana" w:cs="Times New Roman"/>
          <w:sz w:val="21"/>
          <w:szCs w:val="21"/>
        </w:rPr>
        <w:t>;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lastRenderedPageBreak/>
        <w:t>наличия у кредитной организации утвержденной уполномоченными органами управления кредитной организации методик выявления значимых для кредитной организации рисков, управления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 значимыми для кредитной организации рисками,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осуществления </w:t>
      </w:r>
      <w:proofErr w:type="spellStart"/>
      <w:proofErr w:type="gramStart"/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стресс-тестирования</w:t>
      </w:r>
      <w:proofErr w:type="spellEnd"/>
      <w:proofErr w:type="gramEnd"/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, наличия системы отчетности по значимым для кредитной организации рискам и капиталу</w:t>
      </w:r>
      <w:r w:rsidRPr="00723F44">
        <w:rPr>
          <w:rFonts w:ascii="Verdana" w:eastAsia="Times New Roman" w:hAnsi="Verdana" w:cs="Times New Roman"/>
          <w:sz w:val="21"/>
          <w:szCs w:val="21"/>
        </w:rPr>
        <w:t>;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последовательности применения в кредитной организации методик управления значимыми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 для кредитной организации рисками и оценки их эффективности;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осуществления советом директоров и исполнительными органами управления кредитной организации контроля соблюдения в кредитной </w:t>
      </w:r>
      <w:proofErr w:type="gramStart"/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организации</w:t>
      </w:r>
      <w:proofErr w:type="gramEnd"/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 xml:space="preserve"> установленных внутренними документами кредитной организации предельных значений рисков и достаточности собственных средств (капитала</w:t>
      </w:r>
      <w:r w:rsidRPr="00723F44">
        <w:rPr>
          <w:rFonts w:ascii="Verdana" w:eastAsia="Times New Roman" w:hAnsi="Verdana" w:cs="Times New Roman"/>
          <w:sz w:val="21"/>
          <w:szCs w:val="21"/>
        </w:rPr>
        <w:t>), эффективности применяемых в кредитной организации процедур управления рисками и последовательности их применения.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 xml:space="preserve">Кредитная организация, головная кредитная организация банковской группы, головная организация банковского холдинга раскрывают аудиторское заключение в соответствии со </w:t>
      </w:r>
      <w:hyperlink r:id="rId9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статьей 8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 и представляют его в Банк России вместе с годовой бухгалтерской (финансовой) отчетностью кредитной организации, годовой консолидированной финансовой отчетностью банковской группы, годовой консолидированной финансовой отчетностью банковского холдинга.</w:t>
      </w:r>
    </w:p>
    <w:p w:rsidR="00723F44" w:rsidRPr="00723F44" w:rsidRDefault="00723F44" w:rsidP="00723F44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> 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Arial" w:eastAsia="Times New Roman" w:hAnsi="Arial" w:cs="Arial"/>
          <w:b/>
          <w:bCs/>
          <w:sz w:val="21"/>
          <w:szCs w:val="21"/>
        </w:rPr>
        <w:t>Статья 43. Отчетность кредитной организации, отчетность банковских групп и отчетность банковских холдингов</w:t>
      </w:r>
    </w:p>
    <w:p w:rsidR="00723F44" w:rsidRPr="00723F44" w:rsidRDefault="00723F44" w:rsidP="00723F44">
      <w:pPr>
        <w:spacing w:after="0" w:line="264" w:lineRule="auto"/>
        <w:ind w:firstLine="547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723F44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hyperlink r:id="rId10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закона</w:t>
        </w:r>
      </w:hyperlink>
      <w:r w:rsidRPr="00723F44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146-ФЗ)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> </w:t>
      </w:r>
    </w:p>
    <w:p w:rsidR="00723F44" w:rsidRPr="00723F44" w:rsidRDefault="00723F44" w:rsidP="00723F44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723F44">
        <w:rPr>
          <w:rFonts w:ascii="Verdana" w:eastAsia="Times New Roman" w:hAnsi="Verdana" w:cs="Times New Roman"/>
          <w:sz w:val="21"/>
          <w:szCs w:val="21"/>
        </w:rPr>
        <w:t xml:space="preserve">Кредитная организация составляет и представляет в Банк России отчетность о своей деятельности по формам, в </w:t>
      </w:r>
      <w:hyperlink r:id="rId11" w:tooltip="Ссылка на список документов:&#10;Указание Банка России от 24.01.2005 N 1546-У&#10;(ред. от 06.11.2007)&#10;&quot;О порядке представления кредитными организациями в Центральный банк Российской Федерации отчетности в виде электронных сообщений, снабженных кодом аутентификации&quot;&#10;(Зарегистрировано в Минюсте РФ 22.02.2005 N 6353)&#10;-------------------- &#10;Указание Банка России от 12.11.2009 N 2332-У&#10;(ред. от 02.06.2016)&#10;&quot;О перечне, формах и порядке составления и представления форм отчетности кредитных организаций в Центра...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 xml:space="preserve"> и сроки, которые устанавливаются Банком России. Головная кредитная организация банковской группы по формам, в </w:t>
      </w:r>
      <w:hyperlink r:id="rId12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 xml:space="preserve"> и сроки, которые определяются Банком России, составляет и представляет в Банк России отчетность, необходимую для осуществления надзора за кредитными организациями на консолидированной основе, а </w:t>
      </w:r>
      <w:r w:rsidRPr="00723F44">
        <w:rPr>
          <w:rFonts w:ascii="Verdana" w:eastAsia="Times New Roman" w:hAnsi="Verdana" w:cs="Times New Roman"/>
          <w:sz w:val="21"/>
          <w:szCs w:val="21"/>
          <w:highlight w:val="yellow"/>
        </w:rPr>
        <w:t>также иную информацию о деятельности банковской группы в соответствии с перечнем, установленным Советом директоров Банка России</w:t>
      </w:r>
      <w:r w:rsidRPr="00723F44">
        <w:rPr>
          <w:rFonts w:ascii="Verdana" w:eastAsia="Times New Roman" w:hAnsi="Verdana" w:cs="Times New Roman"/>
          <w:sz w:val="21"/>
          <w:szCs w:val="21"/>
        </w:rPr>
        <w:t xml:space="preserve">. Головная кредитная организация банковской группы представляет в Банк России консолидированную финансовую и иную отчетность в соответствии с перечнем, установленным Советом директоров Банка России, а также информацию, подлежащую раскрытию в соответствии со </w:t>
      </w:r>
      <w:hyperlink r:id="rId13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статьей 8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в </w:t>
      </w:r>
      <w:hyperlink r:id="rId14" w:history="1">
        <w:r w:rsidRPr="00723F44">
          <w:rPr>
            <w:rFonts w:ascii="Verdana" w:eastAsia="Times New Roman" w:hAnsi="Verdana" w:cs="Times New Roman"/>
            <w:color w:val="000000"/>
            <w:sz w:val="21"/>
          </w:rPr>
          <w:t>порядке</w:t>
        </w:r>
      </w:hyperlink>
      <w:r w:rsidRPr="00723F44">
        <w:rPr>
          <w:rFonts w:ascii="Verdana" w:eastAsia="Times New Roman" w:hAnsi="Verdana" w:cs="Times New Roman"/>
          <w:sz w:val="21"/>
          <w:szCs w:val="21"/>
        </w:rPr>
        <w:t>, установленном Банком России.</w:t>
      </w:r>
    </w:p>
    <w:p w:rsidR="00723F44" w:rsidRDefault="00723F44" w:rsidP="00723F4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</w:rPr>
      </w:pPr>
    </w:p>
    <w:p w:rsidR="003D61B2" w:rsidRPr="003D61B2" w:rsidRDefault="00723F44" w:rsidP="00723F4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3D61B2">
        <w:rPr>
          <w:rFonts w:ascii="Arial" w:eastAsia="Times New Roman" w:hAnsi="Arial" w:cs="Arial"/>
          <w:b/>
          <w:bCs/>
          <w:color w:val="000000"/>
          <w:kern w:val="36"/>
          <w:sz w:val="24"/>
        </w:rPr>
        <w:t xml:space="preserve"> </w:t>
      </w:r>
      <w:r w:rsidR="003D61B2" w:rsidRPr="003D61B2">
        <w:rPr>
          <w:rFonts w:ascii="Arial" w:eastAsia="Times New Roman" w:hAnsi="Arial" w:cs="Arial"/>
          <w:b/>
          <w:bCs/>
          <w:color w:val="000000"/>
          <w:kern w:val="36"/>
          <w:sz w:val="24"/>
        </w:rPr>
        <w:t>Статья 8. Раскрытие информации об органах управления кредитной организации и о деятельности кредитной организации, банковской группы и банковского холдинга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st420"/>
      <w:bookmarkEnd w:id="0"/>
      <w:r w:rsidRPr="003D61B2">
        <w:rPr>
          <w:rFonts w:ascii="Arial" w:eastAsia="Times New Roman" w:hAnsi="Arial" w:cs="Arial"/>
          <w:color w:val="000000"/>
          <w:sz w:val="24"/>
          <w:szCs w:val="24"/>
        </w:rPr>
        <w:lastRenderedPageBreak/>
        <w:t>Кредитная организация обязана раскрывать по </w:t>
      </w:r>
      <w:hyperlink r:id="rId15" w:anchor="dst100006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формам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>, в порядке и </w:t>
      </w:r>
      <w:hyperlink r:id="rId16" w:anchor="dst100022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сроки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>, которые устанавливаются Банком России, следующую информацию о своей деятельности: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st421"/>
      <w:bookmarkEnd w:id="1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1) ежегодно - годовую бухгалтерскую (финансовую) отчетность и аудиторское заключение по ней, информацию о принимаемых рисках, процедурах их оценки, управления рисками и капиталом;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dst422"/>
      <w:bookmarkEnd w:id="2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2) ежеквартально - промежуточную бухгалтерскую (финансовую) отчетность, информацию о принимаемых рисках, процедурах их оценки, управления рисками и капиталом. В случае</w:t>
      </w:r>
      <w:proofErr w:type="gramStart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,</w:t>
      </w:r>
      <w:proofErr w:type="gramEnd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если проводилась проверка промежуточной бухгалтерской (финансовой) отчетности, указанная отчетность раскрывается вместе с аудиторским заключением аудиторской организации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dst486"/>
      <w:bookmarkEnd w:id="3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Кредитная организация обязана </w:t>
      </w:r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по требованию физического лица или юридического лица предоставить ему копию лицензии на осуществление банковских операций, копии иных выданных ей разрешений (лицензий), если необходимость получения указанных документов предусмотрена федеральными законами, а также бухгалтерскую (финансовую) отчетность за текущий год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st424"/>
      <w:bookmarkEnd w:id="4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За введение физического лица или юридического лица в заблуждение путем </w:t>
      </w:r>
      <w:proofErr w:type="spellStart"/>
      <w:r w:rsidRPr="003D61B2">
        <w:rPr>
          <w:rFonts w:ascii="Arial" w:eastAsia="Times New Roman" w:hAnsi="Arial" w:cs="Arial"/>
          <w:color w:val="000000"/>
          <w:sz w:val="24"/>
          <w:szCs w:val="24"/>
        </w:rPr>
        <w:t>непредоставления</w:t>
      </w:r>
      <w:proofErr w:type="spellEnd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информации либо путем предоставления недостоверной или неполной информации кредитная организация несет ответственность в соответствии с настоящим Федеральным </w:t>
      </w:r>
      <w:hyperlink r:id="rId17" w:anchor="dst393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законом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> и иными федеральными законами.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bookmarkStart w:id="5" w:name="dst425"/>
      <w:bookmarkEnd w:id="5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Головная кредитная организация банковской группы раскрывает: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st426"/>
      <w:bookmarkEnd w:id="6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1) ежегодно - годовую консолидированную финансовую отчетность и аудиторское заключение по ней, информацию о принимаемых рисках, процедурах их оценки, управления рисками и капиталом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D61B2" w:rsidRPr="003D61B2" w:rsidRDefault="003D61B2" w:rsidP="003D61B2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D61B2">
        <w:rPr>
          <w:rFonts w:ascii="Arial" w:eastAsia="Times New Roman" w:hAnsi="Arial" w:cs="Arial"/>
          <w:color w:val="333333"/>
          <w:sz w:val="24"/>
          <w:szCs w:val="24"/>
        </w:rPr>
        <w:t>КонсультантПлюс</w:t>
      </w:r>
      <w:proofErr w:type="spellEnd"/>
      <w:r w:rsidRPr="003D61B2">
        <w:rPr>
          <w:rFonts w:ascii="Arial" w:eastAsia="Times New Roman" w:hAnsi="Arial" w:cs="Arial"/>
          <w:color w:val="333333"/>
          <w:sz w:val="24"/>
          <w:szCs w:val="24"/>
        </w:rPr>
        <w:t>: примечание.</w:t>
      </w:r>
    </w:p>
    <w:p w:rsidR="003D61B2" w:rsidRPr="003D61B2" w:rsidRDefault="003D61B2" w:rsidP="003D61B2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D61B2">
        <w:rPr>
          <w:rFonts w:ascii="Arial" w:eastAsia="Times New Roman" w:hAnsi="Arial" w:cs="Arial"/>
          <w:color w:val="333333"/>
          <w:sz w:val="24"/>
          <w:szCs w:val="24"/>
        </w:rPr>
        <w:t>Периодичность раскрытия отчетности, указанной в пункте 2 части четвертой статьи 8 (в ред. Федерального </w:t>
      </w:r>
      <w:hyperlink r:id="rId18" w:anchor="dst100014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3D61B2">
        <w:rPr>
          <w:rFonts w:ascii="Arial" w:eastAsia="Times New Roman" w:hAnsi="Arial" w:cs="Arial"/>
          <w:color w:val="333333"/>
          <w:sz w:val="24"/>
          <w:szCs w:val="24"/>
        </w:rPr>
        <w:t xml:space="preserve"> от 29.12.2015 N 403-ФЗ), </w:t>
      </w:r>
      <w:proofErr w:type="gramStart"/>
      <w:r w:rsidRPr="003D61B2">
        <w:rPr>
          <w:rFonts w:ascii="Arial" w:eastAsia="Times New Roman" w:hAnsi="Arial" w:cs="Arial"/>
          <w:color w:val="333333"/>
          <w:sz w:val="24"/>
          <w:szCs w:val="24"/>
        </w:rPr>
        <w:t>устанавливается</w:t>
      </w:r>
      <w:proofErr w:type="gramEnd"/>
      <w:r w:rsidRPr="003D61B2">
        <w:rPr>
          <w:rFonts w:ascii="Arial" w:eastAsia="Times New Roman" w:hAnsi="Arial" w:cs="Arial"/>
          <w:color w:val="333333"/>
          <w:sz w:val="24"/>
          <w:szCs w:val="24"/>
        </w:rPr>
        <w:t xml:space="preserve"> начиная с раскрытия отчетности, составленной за первый квартал 2016 года (</w:t>
      </w:r>
      <w:hyperlink r:id="rId19" w:anchor="dst100287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пункт 5 статьи 8</w:t>
        </w:r>
      </w:hyperlink>
      <w:r w:rsidRPr="003D61B2">
        <w:rPr>
          <w:rFonts w:ascii="Arial" w:eastAsia="Times New Roman" w:hAnsi="Arial" w:cs="Arial"/>
          <w:color w:val="333333"/>
          <w:sz w:val="24"/>
          <w:szCs w:val="24"/>
        </w:rPr>
        <w:t> Федерального закона от 29.12.2015 N 403-ФЗ).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st623"/>
      <w:bookmarkEnd w:id="7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2) ежеквартально - промежуточную консолидированную финансовую отчетность, информацию о принимаемых рисках, процедурах их оценки, управления рисками и капиталом. В случае</w:t>
      </w:r>
      <w:proofErr w:type="gramStart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,</w:t>
      </w:r>
      <w:proofErr w:type="gramEnd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если проводилась проверка промежуточной консолидированной финансовой отчетности, указанная отчетность раскрывается вместе с аудиторским заключением аудиторской организации.</w:t>
      </w:r>
    </w:p>
    <w:p w:rsidR="003D61B2" w:rsidRPr="003D61B2" w:rsidRDefault="003D61B2" w:rsidP="003D61B2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3D61B2">
        <w:rPr>
          <w:rFonts w:ascii="Arial" w:eastAsia="Times New Roman" w:hAnsi="Arial" w:cs="Arial"/>
          <w:color w:val="333333"/>
          <w:sz w:val="24"/>
          <w:szCs w:val="24"/>
        </w:rPr>
        <w:t>КонсультантПлюс</w:t>
      </w:r>
      <w:proofErr w:type="spellEnd"/>
      <w:r w:rsidRPr="003D61B2">
        <w:rPr>
          <w:rFonts w:ascii="Arial" w:eastAsia="Times New Roman" w:hAnsi="Arial" w:cs="Arial"/>
          <w:color w:val="333333"/>
          <w:sz w:val="24"/>
          <w:szCs w:val="24"/>
        </w:rPr>
        <w:t>: примечание.</w:t>
      </w:r>
    </w:p>
    <w:p w:rsidR="003D61B2" w:rsidRPr="003D61B2" w:rsidRDefault="003D61B2" w:rsidP="003D61B2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D61B2">
        <w:rPr>
          <w:rFonts w:ascii="Arial" w:eastAsia="Times New Roman" w:hAnsi="Arial" w:cs="Arial"/>
          <w:color w:val="333333"/>
          <w:sz w:val="24"/>
          <w:szCs w:val="24"/>
        </w:rPr>
        <w:t>Об определении состава участников банковской группы в целях составления консолидированной отчетности и иной информации о деятельности банковской группы см. Методические </w:t>
      </w:r>
      <w:hyperlink r:id="rId20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рекомендации</w:t>
        </w:r>
      </w:hyperlink>
      <w:proofErr w:type="gramStart"/>
      <w:r w:rsidRPr="003D61B2">
        <w:rPr>
          <w:rFonts w:ascii="Arial" w:eastAsia="Times New Roman" w:hAnsi="Arial" w:cs="Arial"/>
          <w:color w:val="333333"/>
          <w:sz w:val="24"/>
          <w:szCs w:val="24"/>
        </w:rPr>
        <w:t> ,</w:t>
      </w:r>
      <w:proofErr w:type="gramEnd"/>
      <w:r w:rsidRPr="003D61B2">
        <w:rPr>
          <w:rFonts w:ascii="Arial" w:eastAsia="Times New Roman" w:hAnsi="Arial" w:cs="Arial"/>
          <w:color w:val="333333"/>
          <w:sz w:val="24"/>
          <w:szCs w:val="24"/>
        </w:rPr>
        <w:t xml:space="preserve"> утвержденные Банком России 27.10.2016 N 40-МР.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st428"/>
      <w:bookmarkEnd w:id="8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Формы, порядок и сроки раскрытия головной кредитной организацией банковской группы информации о принимаемых рисках, процедурах их оценки, управления рисками и капиталом </w:t>
      </w:r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определяются Банком России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t>. </w:t>
      </w:r>
      <w:hyperlink r:id="rId21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Порядок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> 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dst429"/>
      <w:bookmarkEnd w:id="9"/>
      <w:r w:rsidRPr="003D61B2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Головная организация банковского холдинга обязана ежегодно раскрывать консолидированную финансовую отчетность и аудиторское заключение по ней.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22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Порядок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 и сроки раскрытия головной организацией банковского холдинга 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консолидированной финансовой отчетности и аудиторского заключения по ней определяются Банком России.</w:t>
      </w:r>
    </w:p>
    <w:p w:rsid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</w:pPr>
      <w:bookmarkStart w:id="10" w:name="dst430"/>
      <w:bookmarkEnd w:id="10"/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УКАЗАНИЕ</w:t>
      </w:r>
      <w:r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от 25 октября 2013 года N 3087-У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br/>
        <w:t>О раскрытии и представлении банковскими холдингами консолидированной финансовой отчетности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>1. Головная организация банковского холдинга раскрывает годовую консолидированную финансовую отчетность вместе с аудиторским заключением по ней в срок не позднее 150 календарных дней после окончания года, за который составлена данная отчетность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</w:pP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5. Годовая консолидированная финансовая отчетность представляется в уполномоченное </w:t>
      </w:r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>структурное подразделение Банка России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 вместе </w:t>
      </w:r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>с аудиторским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 заключением по ней </w:t>
      </w:r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 xml:space="preserve">не позднее трех рабочих дней после дня раскрытия, но не позднее 1 июля года, следующего </w:t>
      </w:r>
      <w:proofErr w:type="gramStart"/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>за</w:t>
      </w:r>
      <w:proofErr w:type="gramEnd"/>
      <w:r w:rsidRPr="00723F44">
        <w:rPr>
          <w:rFonts w:ascii="Arial" w:hAnsi="Arial" w:cs="Arial"/>
          <w:i/>
          <w:color w:val="2D2D2D"/>
          <w:spacing w:val="2"/>
          <w:sz w:val="23"/>
          <w:szCs w:val="23"/>
          <w:highlight w:val="yellow"/>
          <w:shd w:val="clear" w:color="auto" w:fill="FFFFFF"/>
        </w:rPr>
        <w:t xml:space="preserve"> отчетным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</w:pPr>
      <w:r w:rsidRPr="003D61B2">
        <w:rPr>
          <w:i/>
        </w:rPr>
        <w:t> </w:t>
      </w:r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о способе и месте раскрытия годовой консолидированной финансовой отчетности осуществляются в порядке, аналогичном </w:t>
      </w:r>
      <w:proofErr w:type="gramStart"/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установленному</w:t>
      </w:r>
      <w:proofErr w:type="gramEnd"/>
      <w:r w:rsidRPr="003D61B2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 xml:space="preserve"> для раскрытия годовой консолидированной финансовой отчетност</w:t>
      </w:r>
      <w:r w:rsidR="005227A1"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  <w:t>и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hd w:val="clear" w:color="auto" w:fill="FFFFFF"/>
        </w:rPr>
      </w:pPr>
      <w:r w:rsidRPr="003D61B2">
        <w:rPr>
          <w:rFonts w:ascii="Arial" w:hAnsi="Arial" w:cs="Arial"/>
          <w:i/>
          <w:color w:val="2D2D2D"/>
          <w:spacing w:val="2"/>
          <w:shd w:val="clear" w:color="auto" w:fill="FFFFFF"/>
        </w:rPr>
        <w:t>6. Годовая консолидированная финансовая отчетность вместе с аудиторским заключением по ней представляется в уполномоченное структурное подразделение Банка России в виде электронного сообщения, снабженного кодом аутентификации</w:t>
      </w:r>
    </w:p>
    <w:p w:rsid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</w:pP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27A1" w:rsidRP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b/>
          <w:color w:val="000000"/>
          <w:sz w:val="23"/>
          <w:szCs w:val="23"/>
        </w:rPr>
      </w:pPr>
      <w:r w:rsidRPr="005227A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Указание Банка России от 3 декабря 2015 г. № 3876-У “О формах, порядке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</w:t>
      </w:r>
      <w:r w:rsidRPr="005227A1">
        <w:rPr>
          <w:rFonts w:ascii="Arial" w:hAnsi="Arial" w:cs="Arial"/>
          <w:b/>
          <w:color w:val="000000"/>
          <w:sz w:val="23"/>
          <w:szCs w:val="23"/>
        </w:rPr>
        <w:br/>
      </w:r>
      <w:r w:rsidRPr="005227A1">
        <w:rPr>
          <w:rFonts w:ascii="Arial" w:hAnsi="Arial" w:cs="Arial"/>
          <w:b/>
          <w:color w:val="000000"/>
          <w:sz w:val="23"/>
          <w:szCs w:val="23"/>
        </w:rPr>
        <w:br/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Головная кредитная организация банковской группы раскрывает информацию о рисках на консолидированной основе: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ежегодно - по состоянию на 1 января года, следующего за отчетным годом, - не позднее 150 календарных дней после окончания отчетного года;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ежеквартально - по состоянию на первое число первого месяца квартала, следующего за отчетным кварталом, - не позднее 60 календарных дней после окончания отчетного квартала.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 составе информации о рисках на консолидированной основе головная кредитная организация банковской группы раскрывает следующие сведения.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1.1. Сведения из консолидированной финансовой отчетности по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прил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1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 консолидированной основе отчет об уровне достаточности капитала для покрытия рисков, величине резервов на возможные потери по ссудам и иным активам (форма 0409808), 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сведения об обязательных нормативах, показателе финансового рычага и нормативе краткосрочной ликвидности (форма 0409813), 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данные из консолидированной финансовой отчетности и сравнительную информацию об основных элементах собственных средств (капитала) банковской группы, а также показателях, уменьшающих их величину, и соответствующих показателях, включенных в состав консолидированной отчетности.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информацию по риску инвестиций в долевые ценные бумаги, рискам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секьюритизации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процентному риску в банковском портфеле, кредитному риску контрагента, показателю финансового рычага и нормативу краткосрочной ликвидности.</w:t>
      </w:r>
    </w:p>
    <w:p w:rsidR="005227A1" w:rsidRDefault="005227A1" w:rsidP="005227A1">
      <w:pPr>
        <w:pStyle w:val="a4"/>
        <w:spacing w:before="0" w:beforeAutospacing="0" w:after="28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1.4. Сведения общего характера о деятельности банковской группы.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1.5. Информацию о принимаемых банковской группой рисках, процедурах их оценки и организации управления ими (включая политику управления рисками в банковской группе)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.6. Информацию об управлении рисками и капиталом</w:t>
      </w:r>
    </w:p>
    <w:p w:rsidR="005227A1" w:rsidRDefault="005227A1" w:rsidP="005227A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D61B2" w:rsidRDefault="003D61B2" w:rsidP="003D61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3.7. В случае размещения годовой (промежуточной) бухгалтерской (финансовой) отчетности на сайте кредитной организации, информация о наименовании сайта и дате раскрытия информации на сайте </w:t>
      </w:r>
      <w:r w:rsidRPr="00874829">
        <w:rPr>
          <w:color w:val="22272F"/>
          <w:sz w:val="23"/>
          <w:szCs w:val="23"/>
          <w:highlight w:val="yellow"/>
        </w:rPr>
        <w:t>в письменном виде доводится до сведения территориального учреждения Банка России, осуществляющего надзор за ее деятельностью, в течение трех рабочих дней после дня ее опубликования.</w:t>
      </w:r>
    </w:p>
    <w:p w:rsidR="003D61B2" w:rsidRDefault="003D61B2" w:rsidP="003D61B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3.8. В случае опубликования годовой (промежуточной) бухгалтерской (финансовой) отчетности в средствах массовой информации и (или) буклетах, брошюрах и прочих изданиях, </w:t>
      </w:r>
      <w:r w:rsidRPr="00874829">
        <w:rPr>
          <w:color w:val="22272F"/>
          <w:sz w:val="23"/>
          <w:szCs w:val="23"/>
          <w:highlight w:val="yellow"/>
        </w:rPr>
        <w:t>экземпляр оригинала издания представляется кредитными организациями одновременно с годовой (промежуточной) бухгалтерской (финансовой) отчетностью в территориальные учреждения Банка России в сроки, установленные</w:t>
      </w:r>
      <w:r>
        <w:rPr>
          <w:rStyle w:val="apple-converted-space"/>
          <w:color w:val="22272F"/>
          <w:sz w:val="23"/>
          <w:szCs w:val="23"/>
        </w:rPr>
        <w:t> </w:t>
      </w:r>
      <w:hyperlink r:id="rId23" w:anchor="/document/12171690/entry/0" w:history="1">
        <w:r>
          <w:rPr>
            <w:rStyle w:val="a3"/>
            <w:color w:val="734C9B"/>
            <w:sz w:val="23"/>
            <w:szCs w:val="23"/>
          </w:rPr>
          <w:t>Указанием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Банка России N 2332-У.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hAnsi="Arial" w:cs="Arial"/>
          <w:i/>
          <w:color w:val="2D2D2D"/>
          <w:spacing w:val="2"/>
          <w:sz w:val="23"/>
          <w:szCs w:val="23"/>
          <w:shd w:val="clear" w:color="auto" w:fill="FFFFFF"/>
        </w:rPr>
      </w:pP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st487"/>
      <w:bookmarkEnd w:id="11"/>
      <w:proofErr w:type="gramStart"/>
      <w:r w:rsidRPr="003D61B2">
        <w:rPr>
          <w:rFonts w:ascii="Arial" w:eastAsia="Times New Roman" w:hAnsi="Arial" w:cs="Arial"/>
          <w:color w:val="000000"/>
          <w:sz w:val="24"/>
          <w:szCs w:val="24"/>
        </w:rPr>
        <w:t>Кредитная организация обязана в установленном нормативными </w:t>
      </w:r>
      <w:hyperlink r:id="rId24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актами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> Банка России порядке раскрывать неограниченному кругу лиц на своем официальном сайте в информационно-телекоммуникационной сети "Интернет" следующую информацию о квалификации и об опыте работы членов совета директоров (наблюдательного совета) кредитной организации, лиц, занимающих должности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кредитной организации, а также руководителя, главного</w:t>
      </w:r>
      <w:proofErr w:type="gramEnd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 бухгалтера филиала кредитной организации: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st488"/>
      <w:bookmarkEnd w:id="12"/>
      <w:r w:rsidRPr="003D61B2">
        <w:rPr>
          <w:rFonts w:ascii="Arial" w:eastAsia="Times New Roman" w:hAnsi="Arial" w:cs="Arial"/>
          <w:color w:val="000000"/>
          <w:sz w:val="24"/>
          <w:szCs w:val="24"/>
        </w:rPr>
        <w:t>1) фамилия, имя, отчество (последнее - при наличии);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st489"/>
      <w:bookmarkEnd w:id="13"/>
      <w:proofErr w:type="gramStart"/>
      <w:r w:rsidRPr="003D61B2">
        <w:rPr>
          <w:rFonts w:ascii="Arial" w:eastAsia="Times New Roman" w:hAnsi="Arial" w:cs="Arial"/>
          <w:color w:val="000000"/>
          <w:sz w:val="24"/>
          <w:szCs w:val="24"/>
        </w:rPr>
        <w:t>2) наименование занимаемой должности (с указанием дат согласования Банком России и назначения на должность - для лиц, занимающих должности единоличного исполнительного органа, его заместителей, членов коллегиального исполнительного органа кредитной организации, главного бухгалтера, заместителя главного бухгалтера кредитной организации, а также руководителя, главного бухгалтера филиала кредитной организации, даты избрания - для членов совета директоров (наблюдательного совета) кредитной организации);</w:t>
      </w:r>
      <w:proofErr w:type="gramEnd"/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st490"/>
      <w:bookmarkEnd w:id="14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3) сведения о профессиональном образовании (с указанием наименования образовательной организации, года ее окончания, квалификации, специальности </w:t>
      </w:r>
      <w:r w:rsidRPr="003D61B2">
        <w:rPr>
          <w:rFonts w:ascii="Arial" w:eastAsia="Times New Roman" w:hAnsi="Arial" w:cs="Arial"/>
          <w:color w:val="000000"/>
          <w:sz w:val="24"/>
          <w:szCs w:val="24"/>
        </w:rPr>
        <w:lastRenderedPageBreak/>
        <w:t>и (или) направления подготовки), о дополнительном профессиональном образовании с указанием освоенной программы и даты ее освоения, а также сведения об ученой степени и о дате ее присуждения, об ученом звании и о дате его присвоения;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st491"/>
      <w:bookmarkEnd w:id="15"/>
      <w:r w:rsidRPr="003D61B2">
        <w:rPr>
          <w:rFonts w:ascii="Arial" w:eastAsia="Times New Roman" w:hAnsi="Arial" w:cs="Arial"/>
          <w:color w:val="000000"/>
          <w:sz w:val="24"/>
          <w:szCs w:val="24"/>
        </w:rPr>
        <w:t>4) сведения о трудовой деятельности за пять лет, предшествующих дате назначения (избрания) на занимаемую должность, с указанием мест работы и занимаемых должностей (в том числе членства в совете директоров (наблюдательном совете) юридического лица), дат назначения (избрания) и увольнения (освобождения от занимаемой должности), описанием служебных обязанностей.</w:t>
      </w:r>
    </w:p>
    <w:p w:rsidR="003D61B2" w:rsidRPr="003D61B2" w:rsidRDefault="003D61B2" w:rsidP="003D61B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st492"/>
      <w:bookmarkStart w:id="17" w:name="dst494"/>
      <w:bookmarkStart w:id="18" w:name="dst624"/>
      <w:bookmarkEnd w:id="16"/>
      <w:bookmarkEnd w:id="17"/>
      <w:bookmarkEnd w:id="18"/>
      <w:r w:rsidRPr="003D61B2">
        <w:rPr>
          <w:rFonts w:ascii="Arial" w:eastAsia="Times New Roman" w:hAnsi="Arial" w:cs="Arial"/>
          <w:color w:val="000000"/>
          <w:sz w:val="24"/>
          <w:szCs w:val="24"/>
        </w:rPr>
        <w:t>Кредитная организация, головная кредитная организация банковской группы обязаны раскрывать неограниченному кругу лиц на своих официальных сайтах в информационно-телекоммуникационной сети "Интернет" в </w:t>
      </w:r>
      <w:hyperlink r:id="rId25" w:history="1">
        <w:r w:rsidRPr="003D61B2">
          <w:rPr>
            <w:rFonts w:ascii="Arial" w:eastAsia="Times New Roman" w:hAnsi="Arial" w:cs="Arial"/>
            <w:color w:val="666699"/>
            <w:sz w:val="24"/>
            <w:szCs w:val="24"/>
          </w:rPr>
          <w:t>порядке и сроки</w:t>
        </w:r>
      </w:hyperlink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, которые установлены Банком России, информацию о финансовых инструментах, включаемых в расчет собственных средств (капитала) кредитной организации, банковской группы, в том числе </w:t>
      </w:r>
      <w:proofErr w:type="gramStart"/>
      <w:r w:rsidRPr="003D61B2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3D61B2">
        <w:rPr>
          <w:rFonts w:ascii="Arial" w:eastAsia="Times New Roman" w:hAnsi="Arial" w:cs="Arial"/>
          <w:color w:val="000000"/>
          <w:sz w:val="24"/>
          <w:szCs w:val="24"/>
        </w:rPr>
        <w:t xml:space="preserve"> всех условиях и о сроках их выпуска, погашения, конвертации, об иных операциях с ними, и о существенных изменениях данных инструментов.</w:t>
      </w:r>
    </w:p>
    <w:p w:rsidR="008547B8" w:rsidRDefault="008547B8"/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35"/>
          <w:szCs w:val="35"/>
          <w:shd w:val="clear" w:color="auto" w:fill="FFFFFF"/>
        </w:rPr>
        <w:t>Указание Банка России от 25 октября 2013 г. N 3081-У</w:t>
      </w:r>
      <w:r>
        <w:rPr>
          <w:color w:val="22272F"/>
          <w:sz w:val="35"/>
          <w:szCs w:val="35"/>
        </w:rPr>
        <w:br/>
      </w:r>
      <w:r>
        <w:rPr>
          <w:color w:val="22272F"/>
          <w:sz w:val="35"/>
          <w:szCs w:val="35"/>
          <w:shd w:val="clear" w:color="auto" w:fill="FFFFFF"/>
        </w:rPr>
        <w:t>"О раскрытии кредитными организациями информации о своей деятельности"</w:t>
      </w:r>
      <w:r>
        <w:rPr>
          <w:color w:val="22272F"/>
          <w:sz w:val="25"/>
          <w:szCs w:val="25"/>
        </w:rPr>
        <w:t xml:space="preserve"> 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1.1. Раскрытию кредитными организациями подлежат: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ежегодно - годовая бухгалтерская (финансовая) отчетность (далее - годовая отчетность), составляемая в соответствии с</w:t>
      </w:r>
      <w:r>
        <w:rPr>
          <w:rStyle w:val="apple-converted-space"/>
          <w:color w:val="22272F"/>
          <w:sz w:val="25"/>
          <w:szCs w:val="25"/>
        </w:rPr>
        <w:t> </w:t>
      </w:r>
      <w:hyperlink r:id="rId26" w:anchor="/document/70447604/entry/0" w:history="1">
        <w:r>
          <w:rPr>
            <w:rStyle w:val="a3"/>
            <w:color w:val="734C9B"/>
            <w:sz w:val="25"/>
            <w:szCs w:val="25"/>
          </w:rPr>
          <w:t>Указанием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Банка России от 4 сентября 2013 года N 3054-У "О порядке составления кредитными организациями годовой бухгалтерской (финансовой) отчетности"</w:t>
      </w:r>
      <w:hyperlink r:id="rId27" w:anchor="/document/70540874/entry/1111" w:history="1">
        <w:r>
          <w:rPr>
            <w:rStyle w:val="a3"/>
            <w:color w:val="734C9B"/>
            <w:sz w:val="25"/>
            <w:szCs w:val="25"/>
          </w:rPr>
          <w:t>*</w:t>
        </w:r>
      </w:hyperlink>
      <w:r>
        <w:rPr>
          <w:color w:val="22272F"/>
          <w:sz w:val="25"/>
          <w:szCs w:val="25"/>
        </w:rPr>
        <w:t>, и аудиторское заключение, подтверждающее ее достоверность. Содержание пояснительной информации к годовой отчетности определено</w:t>
      </w:r>
      <w:r>
        <w:rPr>
          <w:rStyle w:val="apple-converted-space"/>
          <w:color w:val="22272F"/>
          <w:sz w:val="25"/>
          <w:szCs w:val="25"/>
        </w:rPr>
        <w:t> </w:t>
      </w:r>
      <w:hyperlink r:id="rId28" w:anchor="/document/70540874/entry/1000" w:history="1">
        <w:r>
          <w:rPr>
            <w:rStyle w:val="a3"/>
            <w:color w:val="734C9B"/>
            <w:sz w:val="25"/>
            <w:szCs w:val="25"/>
          </w:rPr>
          <w:t>приложением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к настоящему Указанию;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ежеквартально - промежуточная бухгалтерская (финансовая) отчетность в составе следующих форм отчетности: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29" w:anchor="/document/12171690/entry/1057" w:history="1">
        <w:r>
          <w:rPr>
            <w:rStyle w:val="a3"/>
            <w:color w:val="734C9B"/>
            <w:sz w:val="25"/>
            <w:szCs w:val="25"/>
          </w:rPr>
          <w:t>0409806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"Бухгалтерский баланс (публикуемая форма)" (далее - бухгалтерский баланс);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30" w:anchor="/document/12171690/entry/1058" w:history="1">
        <w:r>
          <w:rPr>
            <w:rStyle w:val="a3"/>
            <w:color w:val="734C9B"/>
            <w:sz w:val="25"/>
            <w:szCs w:val="25"/>
          </w:rPr>
          <w:t>0409807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"Отчет о финансовых результатах (публикуемая форма)" (далее - отчет о финансовых результатах);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приложения к бухгалтерскому балансу и</w:t>
      </w:r>
      <w:r>
        <w:rPr>
          <w:rStyle w:val="apple-converted-space"/>
          <w:color w:val="22272F"/>
          <w:sz w:val="25"/>
          <w:szCs w:val="25"/>
        </w:rPr>
        <w:t> </w:t>
      </w:r>
      <w:hyperlink r:id="rId31" w:anchor="/document/12171690/entry/1058" w:history="1">
        <w:r>
          <w:rPr>
            <w:rStyle w:val="a3"/>
            <w:color w:val="734C9B"/>
            <w:sz w:val="25"/>
            <w:szCs w:val="25"/>
          </w:rPr>
          <w:t>отчету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о финансовых результатах в составе: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32" w:anchor="/document/12171690/entry/1059" w:history="1">
        <w:r>
          <w:rPr>
            <w:rStyle w:val="a3"/>
            <w:color w:val="734C9B"/>
            <w:sz w:val="25"/>
            <w:szCs w:val="25"/>
          </w:rPr>
          <w:t>0409808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"Отчет об уровне достаточности капитала для покрытия рисков, величине резервов на возможные потери по ссудам и иным активам (публикуемая форма)" (далее - отчет об уровне достаточности капитала);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33" w:anchor="/document/12171690/entry/1061" w:history="1">
        <w:r>
          <w:rPr>
            <w:rStyle w:val="a3"/>
            <w:color w:val="734C9B"/>
            <w:sz w:val="25"/>
            <w:szCs w:val="25"/>
          </w:rPr>
          <w:t>0409813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 xml:space="preserve">"Сведения об обязательных нормативах, показателе финансового рычага и нормативе краткосрочной ликвидности (публикуемая форма)" (далее - сведения об </w:t>
      </w:r>
      <w:r>
        <w:rPr>
          <w:color w:val="22272F"/>
          <w:sz w:val="25"/>
          <w:szCs w:val="25"/>
        </w:rPr>
        <w:lastRenderedPageBreak/>
        <w:t>обязательных нормативах, показателе финансового рычага и нормативе краткосрочной ликвидности);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34" w:anchor="/document/12171690/entry/1062" w:history="1">
        <w:r>
          <w:rPr>
            <w:rStyle w:val="a3"/>
            <w:color w:val="734C9B"/>
            <w:sz w:val="25"/>
            <w:szCs w:val="25"/>
          </w:rPr>
          <w:t>0409814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"Отчет о движении денежных средств (публикуемая форма)";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пояснительной информации к промежуточной бухгалтерской (финансовой) отчетности;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на постоянной основе - полная информация об условиях и сроках выпуска (привлечения) инструментов капитала, включаемых кредитной организацией в расчет собственных средств (капитала), а также</w:t>
      </w:r>
      <w:r>
        <w:rPr>
          <w:rStyle w:val="apple-converted-space"/>
          <w:color w:val="22272F"/>
          <w:sz w:val="25"/>
          <w:szCs w:val="25"/>
        </w:rPr>
        <w:t> </w:t>
      </w:r>
      <w:hyperlink r:id="rId35" w:anchor="/document/12171690/entry/159005" w:history="1">
        <w:r>
          <w:rPr>
            <w:rStyle w:val="a3"/>
            <w:color w:val="734C9B"/>
            <w:sz w:val="25"/>
            <w:szCs w:val="25"/>
          </w:rPr>
          <w:t>раздел 5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отчета об уровне достаточности капитала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2.1. Годовая (промежуточная) бухгалтерская (финансовая) отчетность должна быть раскрыта: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годовая</w:t>
      </w:r>
      <w:proofErr w:type="gramEnd"/>
      <w:r>
        <w:rPr>
          <w:color w:val="22272F"/>
          <w:sz w:val="23"/>
          <w:szCs w:val="23"/>
        </w:rPr>
        <w:t xml:space="preserve"> - не позднее </w:t>
      </w:r>
      <w:r w:rsidRPr="00874829">
        <w:rPr>
          <w:color w:val="22272F"/>
          <w:sz w:val="23"/>
          <w:szCs w:val="23"/>
          <w:highlight w:val="yellow"/>
        </w:rPr>
        <w:t>10 рабочих дней после дня проведения годового общего собрания акционеров (участников), утвердившего отчет</w:t>
      </w:r>
      <w:r>
        <w:rPr>
          <w:color w:val="22272F"/>
          <w:sz w:val="23"/>
          <w:szCs w:val="23"/>
        </w:rPr>
        <w:t>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промежуточная: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без аудиторского заключения о ее достоверности - в </w:t>
      </w:r>
      <w:r w:rsidRPr="00874829">
        <w:rPr>
          <w:color w:val="22272F"/>
          <w:sz w:val="23"/>
          <w:szCs w:val="23"/>
          <w:highlight w:val="yellow"/>
        </w:rPr>
        <w:t>течение 30 рабочих дней после наступления отчетной даты; для крупных кредитных организаций с широкой сетью подразделений - в течение 40 рабочих дней после наступления отчетной даты</w:t>
      </w:r>
      <w:r>
        <w:rPr>
          <w:color w:val="22272F"/>
          <w:sz w:val="23"/>
          <w:szCs w:val="23"/>
        </w:rPr>
        <w:t>;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 аудиторским заключением о ее достоверности - в течение </w:t>
      </w:r>
      <w:r w:rsidRPr="00874829">
        <w:rPr>
          <w:color w:val="22272F"/>
          <w:sz w:val="23"/>
          <w:szCs w:val="23"/>
          <w:highlight w:val="yellow"/>
        </w:rPr>
        <w:t>40 рабочих дней после наступления отчетной даты; для крупных кредитных организаций с широкой сетью подразделений - в течение 50 ра</w:t>
      </w:r>
      <w:r>
        <w:rPr>
          <w:color w:val="22272F"/>
          <w:sz w:val="23"/>
          <w:szCs w:val="23"/>
        </w:rPr>
        <w:t xml:space="preserve">бочих дней после </w:t>
      </w:r>
      <w:r w:rsidRPr="00874829">
        <w:rPr>
          <w:color w:val="22272F"/>
          <w:sz w:val="23"/>
          <w:szCs w:val="23"/>
          <w:highlight w:val="yellow"/>
        </w:rPr>
        <w:t>наступления отчетной даты.</w:t>
      </w:r>
    </w:p>
    <w:p w:rsidR="00874829" w:rsidRDefault="00874829" w:rsidP="0087482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2.2. </w:t>
      </w:r>
      <w:proofErr w:type="gramStart"/>
      <w:r>
        <w:rPr>
          <w:color w:val="22272F"/>
          <w:sz w:val="23"/>
          <w:szCs w:val="23"/>
        </w:rPr>
        <w:t>Изменения в полную информацию об условиях и сроках выпуска (привлечения) инструментов капитала, а также в</w:t>
      </w:r>
      <w:r>
        <w:rPr>
          <w:rStyle w:val="apple-converted-space"/>
          <w:color w:val="22272F"/>
          <w:sz w:val="23"/>
          <w:szCs w:val="23"/>
        </w:rPr>
        <w:t> </w:t>
      </w:r>
      <w:hyperlink r:id="rId36" w:anchor="/document/12171690/entry/159005" w:history="1">
        <w:r>
          <w:rPr>
            <w:rStyle w:val="a3"/>
            <w:color w:val="734C9B"/>
            <w:sz w:val="23"/>
            <w:szCs w:val="23"/>
          </w:rPr>
          <w:t>раздел 5</w:t>
        </w:r>
      </w:hyperlink>
      <w:r>
        <w:rPr>
          <w:color w:val="22272F"/>
          <w:sz w:val="23"/>
          <w:szCs w:val="23"/>
        </w:rPr>
        <w:t>отчета об уровне достаточности капитала должны вноситься по мере внесения изменений в условия и сроки выпуска (привлечения) инструментов капитала, с момента выпуска новых инструментов капитала, осуществления выплат по инструментам капитала, их погашения, конвертации (списания) или других изменений в условиях выпуска (привлечения) инструментов капитала</w:t>
      </w:r>
      <w:proofErr w:type="gramEnd"/>
      <w:r>
        <w:rPr>
          <w:color w:val="22272F"/>
          <w:sz w:val="23"/>
          <w:szCs w:val="23"/>
        </w:rPr>
        <w:t xml:space="preserve">, </w:t>
      </w:r>
      <w:r w:rsidRPr="00874829">
        <w:rPr>
          <w:color w:val="22272F"/>
          <w:sz w:val="23"/>
          <w:szCs w:val="23"/>
          <w:highlight w:val="yellow"/>
        </w:rPr>
        <w:t>не позднее следующего дня после их осуществления.</w:t>
      </w:r>
    </w:p>
    <w:p w:rsidR="005A417F" w:rsidRDefault="005A417F"/>
    <w:p w:rsidR="005A417F" w:rsidRPr="005A417F" w:rsidRDefault="005A417F" w:rsidP="005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D84B36" w:rsidRDefault="00D84B36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Указание Банка России от 12 ноября 2009 г. N 2332-У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"О перечне, формах и порядке составления и представления форм отчетности кредитных </w:t>
      </w:r>
      <w:r w:rsidRPr="00713ECF">
        <w:rPr>
          <w:rFonts w:ascii="Arial" w:hAnsi="Arial" w:cs="Arial"/>
          <w:b/>
          <w:bCs/>
          <w:color w:val="FF0000"/>
          <w:sz w:val="20"/>
          <w:szCs w:val="20"/>
          <w:highlight w:val="yellow"/>
          <w:shd w:val="clear" w:color="auto" w:fill="FFFFFF"/>
        </w:rPr>
        <w:t>организаций в Центральный банк Российской Федерации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Промежуточная бухгалтерская (финансовая) отчетность кредитных организаций и аудиторское заключение по ней (в случае проведения аудита</w:t>
      </w:r>
      <w:r w:rsidRPr="005A417F">
        <w:rPr>
          <w:rFonts w:ascii="Times New Roman" w:eastAsia="Times New Roman" w:hAnsi="Times New Roman" w:cs="Times New Roman"/>
          <w:b/>
          <w:sz w:val="24"/>
          <w:szCs w:val="24"/>
        </w:rPr>
        <w:t>) (в электронном виде):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37" w:anchor="block_1057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Бухгалтерский баланс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(публикуемая форма)</w:t>
      </w:r>
    </w:p>
    <w:p w:rsidR="00D84B36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38" w:anchor="block_1058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 о финансовых результатах (публикуемая форма) 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 Приложения к бухгалтерскому балансу и отчету о финансовых результатах в составе:</w:t>
      </w:r>
    </w:p>
    <w:p w:rsidR="00D84B36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3.1. </w:t>
      </w:r>
      <w:hyperlink r:id="rId39" w:anchor="block_1059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 об уровне достаточности капитала для покрытия рисков, величине резервов на возможные потери по ссудам и иным активам (публикуемая форма) 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3.2. </w:t>
      </w:r>
      <w:hyperlink r:id="rId40" w:anchor="block_1061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Сведения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об обязательных нормативах, показателе финансового рычага и нормативе краткосрочной ликвидности (публикуемая форма)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lastRenderedPageBreak/>
        <w:t>3.3. </w:t>
      </w:r>
      <w:hyperlink r:id="rId41" w:anchor="block_1062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 движении денежных средств (публикуемая форма)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3.4. Пояснительная информация к промежуточной бухгалтерской (финансовой) отчетности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Кредитные организации (</w:t>
      </w: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за исключением небанковских кредитных организаций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) - не </w:t>
      </w: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позднее 3 рабочих дней после дня раскрытия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Настоящее Указание;</w:t>
      </w:r>
    </w:p>
    <w:p w:rsidR="005A417F" w:rsidRPr="005A417F" w:rsidRDefault="005A417F" w:rsidP="00D8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25 октября 2013 года N 3081-У "О раскрытии кредитными организациями информации о своей деятельности"48а</w:t>
      </w:r>
    </w:p>
    <w:p w:rsidR="00D84B36" w:rsidRDefault="00D84B36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Промежуточная финансовая отчетность и аудиторское заключение по ней (в случае проведения аудита)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(в электронном виде)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апреля, 1 июля, 1 октября - </w:t>
      </w: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кредитные организации (включая небанковские кредитные организации), не являющиеся головными кредитными организациями банковских групп и участниками банковских групп, - в течение 3 рабочих дней после дня раскрытия промежуточной финансовой отчетност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A417F" w:rsidRPr="005A417F" w:rsidRDefault="005A417F" w:rsidP="00D84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2 марта 2015 года N 3580-У "О представлении кредитными организациями финансовой отчетности</w:t>
      </w:r>
    </w:p>
    <w:p w:rsidR="00D84B36" w:rsidRDefault="00D84B36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Промежуточная консолидированная финансовая отчетность и аудиторское заключение по ней (в случае проведения аудита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(в электронном виде)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По состоянию на 1 апреля, 1 июля, 1 октября - кредитные организации (включая небанковские кредитные организации), являющиеся головными кредитными организациями банковских групп, - в течение 3 рабочих дней после дня раскрытия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консолидированной финансовой отчетности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proofErr w:type="gramStart"/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3 декабря 2012 года N 2923-У "О раскрытии и представлении головными кредитными организациями банковских групп консолидированной финансовой отчетности", зарегистрировано Минюстом России 20 декабря 2012 года N 26213, 29 ноября 2013 года N 30495 ("Вестник Банка России" от 26 декабря 2012 года N 75, от 10 декабря 2013 года N 71)</w:t>
      </w:r>
      <w:proofErr w:type="gramEnd"/>
    </w:p>
    <w:p w:rsidR="005A417F" w:rsidRDefault="005A417F" w:rsidP="005A417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A417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5A417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Система ГАРАНТ:</w:t>
      </w:r>
      <w:r w:rsidRPr="005A417F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45" w:anchor="ixzz4QjwCl01N" w:history="1">
        <w:r w:rsidRPr="005A417F">
          <w:rPr>
            <w:rFonts w:ascii="Arial" w:eastAsia="Times New Roman" w:hAnsi="Arial" w:cs="Arial"/>
            <w:b/>
            <w:bCs/>
            <w:color w:val="003399"/>
            <w:sz w:val="18"/>
          </w:rPr>
          <w:t>http://base.garant.ru/12171690/#ixzz4QjwCl01N</w:t>
        </w:r>
      </w:hyperlink>
    </w:p>
    <w:p w:rsidR="005A417F" w:rsidRDefault="005A417F" w:rsidP="005A417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A417F" w:rsidRDefault="005A417F" w:rsidP="005A417F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5A417F" w:rsidRPr="005A417F" w:rsidRDefault="005A417F" w:rsidP="005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Годовая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консолидированная финансовая отчетность и аудиторское заключение по ней (в электронном виде)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года, следующего за </w:t>
      </w:r>
      <w:proofErr w:type="gramStart"/>
      <w:r w:rsidRPr="005A417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5A41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кредитные организации (включая небанковские кредитные организации) - в течение 3 рабочих дней после дня опубликования г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>одовой консолидированной финансовой отчетности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3 декабря 2012 года N 2923-У "О раскрытии и представлении головными кредитными организациями банковских групп консолидированной финансовой отчетности"</w:t>
      </w:r>
    </w:p>
    <w:p w:rsidR="005A417F" w:rsidRPr="005A417F" w:rsidRDefault="005A417F" w:rsidP="005A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55а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Годовая финансовая отчетность и аудиторское заключение по ней (в электронном виде)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состоянию на 1 января года, следующего за отчетным, - кредитные организации (включая небанковские кредитные организации), не являющиеся головными кредитными </w:t>
      </w: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организациями банковских групп и участниками банковских групп, - в течение 3 рабочих</w:t>
      </w: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 дней после дня раскрытия годовой финансовой отчетности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2 марта 2015 года N 3580-У "О представлении кредитными организациями финансовой отчетности"</w:t>
      </w:r>
    </w:p>
    <w:p w:rsidR="00713ECF" w:rsidRDefault="00713EC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Годовая бухгалтерская (финансовая) отчетность кредитных организаций и аудиторское заключение по ней (в электронном виде):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48" w:anchor="block_1057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Бухгалтерский баланс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(публикуемая форма) (код формы по ОКУД </w:t>
      </w:r>
      <w:hyperlink r:id="rId49" w:anchor="block_409806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0409806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50" w:anchor="block_1058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 финансовых результатах (публикуемая форма) (код формы по ОКУД </w:t>
      </w:r>
      <w:hyperlink r:id="rId51" w:anchor="block_409807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0409807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 Приложения к бухгалтерскому балансу и отчету о финансовых результатах в составе: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3.1. </w:t>
      </w:r>
      <w:hyperlink r:id="rId52" w:anchor="block_1059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об уровне достаточности капитала для покрытия рисков, величине резервов на возможные потери по ссудам и иным активам (публикуемая форма) (код формы по ОКУД </w:t>
      </w:r>
      <w:hyperlink r:id="rId53" w:anchor="block_409808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0409808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3.2. </w:t>
      </w:r>
      <w:hyperlink r:id="rId54" w:anchor="block_1061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Сведения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об обязательных нормативах, показателе финансового рычага и нормативе краткосрочной ликвидности (публикуемая форма) (код формы по ОКУД </w:t>
      </w:r>
      <w:hyperlink r:id="rId55" w:anchor="block_409813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0409813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3.3. </w:t>
      </w:r>
      <w:hyperlink r:id="rId56" w:anchor="block_1062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Отчет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о движении денежных средств (публикуемая форма) (код формы по ОКУД </w:t>
      </w:r>
      <w:hyperlink r:id="rId57" w:anchor="block_409814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0409814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3.4. Пояснительная информация к годовой бухгалтерской (финансовой) отчетности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 xml:space="preserve">Кредитные организации (включая небанковские кредитные организации) - </w:t>
      </w:r>
      <w:r w:rsidRPr="005A417F">
        <w:rPr>
          <w:rFonts w:ascii="Times New Roman" w:eastAsia="Times New Roman" w:hAnsi="Times New Roman" w:cs="Times New Roman"/>
          <w:sz w:val="24"/>
          <w:szCs w:val="24"/>
          <w:highlight w:val="yellow"/>
        </w:rPr>
        <w:t>не позднее 3 рабочих дней после дня раскрытия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17F">
        <w:rPr>
          <w:rFonts w:ascii="Times New Roman" w:eastAsia="Times New Roman" w:hAnsi="Times New Roman" w:cs="Times New Roman"/>
          <w:sz w:val="24"/>
          <w:szCs w:val="24"/>
        </w:rPr>
        <w:t>Настоящее Указание;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25 октября 2013 года N 3081-У "О раскрытии кредитными организациями информации о своей деятельности";</w:t>
      </w:r>
    </w:p>
    <w:p w:rsidR="005A417F" w:rsidRPr="005A417F" w:rsidRDefault="005A417F" w:rsidP="005A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5A417F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Указание</w:t>
        </w:r>
      </w:hyperlink>
      <w:r w:rsidRPr="005A417F">
        <w:rPr>
          <w:rFonts w:ascii="Times New Roman" w:eastAsia="Times New Roman" w:hAnsi="Times New Roman" w:cs="Times New Roman"/>
          <w:sz w:val="24"/>
          <w:szCs w:val="24"/>
        </w:rPr>
        <w:t> Банка России от 4 сентября 2013 года N 3054-У "О порядке составления кредитными организациями годовой бухгалтерской (финансовой) отчетности"</w:t>
      </w:r>
    </w:p>
    <w:p w:rsidR="005A417F" w:rsidRDefault="005A417F" w:rsidP="005A417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A41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A417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Система ГАРАНТ:</w:t>
      </w:r>
      <w:r w:rsidRPr="005A417F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60" w:anchor="ixzz4QjwNwlxp" w:history="1">
        <w:r w:rsidRPr="005A417F">
          <w:rPr>
            <w:rFonts w:ascii="Arial" w:eastAsia="Times New Roman" w:hAnsi="Arial" w:cs="Arial"/>
            <w:b/>
            <w:bCs/>
            <w:color w:val="003399"/>
            <w:sz w:val="20"/>
          </w:rPr>
          <w:t>http://base.garant.ru/12171690/#ixzz4QjwNwlxp</w:t>
        </w:r>
      </w:hyperlink>
    </w:p>
    <w:p w:rsidR="008547B8" w:rsidRDefault="008547B8" w:rsidP="005A417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547B8" w:rsidRDefault="008547B8" w:rsidP="005A417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547B8" w:rsidRDefault="008547B8" w:rsidP="005A417F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547B8" w:rsidRPr="008547B8" w:rsidRDefault="008547B8" w:rsidP="005A417F">
      <w:pPr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  <w:proofErr w:type="spellStart"/>
      <w:r w:rsidRPr="008547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Инф</w:t>
      </w:r>
      <w:proofErr w:type="spellEnd"/>
      <w:r w:rsidRPr="008547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о рисках в </w:t>
      </w:r>
      <w:proofErr w:type="spellStart"/>
      <w:r w:rsidRPr="008547B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пз</w:t>
      </w:r>
      <w:proofErr w:type="spellEnd"/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6. Информация о принимаемых кредитной организацией рисках, процедурах их оценки, управления рисками и капиталом включает:</w:t>
      </w:r>
    </w:p>
    <w:p w:rsidR="008547B8" w:rsidRPr="008547B8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8547B8">
        <w:rPr>
          <w:color w:val="22272F"/>
          <w:sz w:val="25"/>
          <w:szCs w:val="25"/>
          <w:highlight w:val="yellow"/>
        </w:rPr>
        <w:t>информацию о принимаемых кредитной организацией рисках, способах их выявления, измерения, мониторинга и контроля;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информацию об управлении капиталом.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Структура, содержание и порядок раскрытия качественной и количественной информации о рисках определяется кредитной организацией самостоятельно с учетом принципа пропорциональности.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6.1. Информация о принимаемых кредитной организацией рисках, способах их выявления, измерения, мониторинга и контроля включает: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информацию о видах значимых рисков, которым подвержена кредитная организация, и об источниках их возникновения;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сведения о структуре и об организации работы подразделений, осуществляющих управление рисками;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основные положения стратегии в области управления рисками и капиталом;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краткое описание процедур управления рисками и методов их оценки, а также информацию о происшедших в них изменениях в течение отчетного года;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политику в области снижения рисков;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составе и периодичности отчетности кредитной организации по рискам;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об объемах требований к капиталу и их изменениях в течение отчетного года. В случае если размер требований к капиталу на отчетную дату отличается на 10 и более процентов от размера требований к капиталу в течение отчетного периода, дополнительно раскрывается информация о максимальном, минимальном и среднем значении требований к капиталу кредитной организации в течение отчетного периода;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видах и степени концентрации рисков, связанных с различными банковскими операциями в разрезе географических зон, видов валют, заемщиков и видов их деятельности, рынков, а также описание способов определения концентрации рисков;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перечень информации, отнесенной к коммерческой тайне и конфиденциальной информации кредитной организации, которая не может быть раскрыта в полном объеме (по ней раскрываются общие сведения с объяснением причин такого раскрытия).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отношении каждого значимого вида рисков следует раскрывать следующую информацию.</w:t>
      </w:r>
    </w:p>
    <w:p w:rsidR="008547B8" w:rsidRPr="008547B8" w:rsidRDefault="008547B8" w:rsidP="008547B8">
      <w:pPr>
        <w:pStyle w:val="s1"/>
        <w:jc w:val="both"/>
        <w:rPr>
          <w:color w:val="FF0000"/>
          <w:sz w:val="25"/>
          <w:szCs w:val="25"/>
        </w:rPr>
      </w:pPr>
      <w:r w:rsidRPr="008547B8">
        <w:rPr>
          <w:color w:val="FF0000"/>
          <w:sz w:val="25"/>
          <w:szCs w:val="25"/>
          <w:highlight w:val="yellow"/>
        </w:rPr>
        <w:t>6.1.1. По кредитному риску: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8547B8">
        <w:rPr>
          <w:color w:val="22272F"/>
          <w:sz w:val="25"/>
          <w:szCs w:val="25"/>
          <w:highlight w:val="yellow"/>
        </w:rPr>
        <w:t>о распределении кредитного риска (требований к капиталу в отношении кредитного риска) по направлениям деятельности кредитной организации (</w:t>
      </w:r>
      <w:proofErr w:type="spellStart"/>
      <w:r w:rsidRPr="008547B8">
        <w:rPr>
          <w:color w:val="22272F"/>
          <w:sz w:val="25"/>
          <w:szCs w:val="25"/>
          <w:highlight w:val="yellow"/>
        </w:rPr>
        <w:t>бизнес-линиям</w:t>
      </w:r>
      <w:proofErr w:type="spellEnd"/>
      <w:r w:rsidRPr="008547B8">
        <w:rPr>
          <w:color w:val="22272F"/>
          <w:sz w:val="25"/>
          <w:szCs w:val="25"/>
          <w:highlight w:val="yellow"/>
        </w:rPr>
        <w:t>), видам экономической деятельности заемщиков (контрагентов), типам контрагентов (корпоративные клиенты, банки-корреспонденты</w:t>
      </w:r>
      <w:r>
        <w:rPr>
          <w:color w:val="22272F"/>
          <w:sz w:val="25"/>
          <w:szCs w:val="25"/>
        </w:rPr>
        <w:t>, государственные органы, индивидуальные предприниматели, физические лица) с разбивкой по видам финансовых активов, а также крупных портфелей внутри отдельных активов, географическому распределению кредитного риска по группам стран или регионов Российской Федерации и классификации активов</w:t>
      </w:r>
      <w:proofErr w:type="gramEnd"/>
      <w:r>
        <w:rPr>
          <w:color w:val="22272F"/>
          <w:sz w:val="25"/>
          <w:szCs w:val="25"/>
        </w:rPr>
        <w:t xml:space="preserve"> по группам риска, а также по срокам, оставшимся до погашения, с выделением основных видов кредитных требований;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о совокупном объеме кредитного риска</w:t>
      </w:r>
      <w:r>
        <w:rPr>
          <w:color w:val="22272F"/>
          <w:sz w:val="25"/>
          <w:szCs w:val="25"/>
        </w:rPr>
        <w:t xml:space="preserve"> в разрезе основных инструментов (ссудная задолженность, средства на корреспондентских счетах, вложения в ценные бумаги, </w:t>
      </w:r>
      <w:r>
        <w:rPr>
          <w:color w:val="22272F"/>
          <w:sz w:val="25"/>
          <w:szCs w:val="25"/>
        </w:rPr>
        <w:lastRenderedPageBreak/>
        <w:t>условные обязатель</w:t>
      </w:r>
      <w:proofErr w:type="gramStart"/>
      <w:r>
        <w:rPr>
          <w:color w:val="22272F"/>
          <w:sz w:val="25"/>
          <w:szCs w:val="25"/>
        </w:rPr>
        <w:t>ств кр</w:t>
      </w:r>
      <w:proofErr w:type="gramEnd"/>
      <w:r>
        <w:rPr>
          <w:color w:val="22272F"/>
          <w:sz w:val="25"/>
          <w:szCs w:val="25"/>
        </w:rPr>
        <w:t>едитного характера, ПФИ и другие) на отчетную дату и среднем значении за отчетный период;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об объемах и сроках просроченной и реструктурированной задолженности в разрезе типов контрагентов и видов финансовых инструментов с указанием существенных различий по направлениям деятельности кредитной организации</w:t>
      </w:r>
      <w:r>
        <w:rPr>
          <w:color w:val="22272F"/>
          <w:sz w:val="25"/>
          <w:szCs w:val="25"/>
        </w:rPr>
        <w:t xml:space="preserve"> (</w:t>
      </w:r>
      <w:proofErr w:type="spellStart"/>
      <w:proofErr w:type="gramStart"/>
      <w:r>
        <w:rPr>
          <w:color w:val="22272F"/>
          <w:sz w:val="25"/>
          <w:szCs w:val="25"/>
        </w:rPr>
        <w:t>бизнес-линиям</w:t>
      </w:r>
      <w:proofErr w:type="spellEnd"/>
      <w:proofErr w:type="gramEnd"/>
      <w:r>
        <w:rPr>
          <w:color w:val="22272F"/>
          <w:sz w:val="25"/>
          <w:szCs w:val="25"/>
        </w:rPr>
        <w:t>), географическим зонам и другим факторам. Дополнительно приводится следующее определение просроченного актива: "актив признается просроченным в полном объеме в случае нарушения установленных договором сроков по уплате хотя бы одного платежа по основному долгу и (или) процентам", а также представляется информация об удельном весе просроченных и реструктурированных ссуд в общем объеме активов;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о результатах классификации активов по категориям качества, размерах расчетного и фактически сформированного резервов на возможные потери</w:t>
      </w:r>
      <w:r>
        <w:rPr>
          <w:color w:val="22272F"/>
          <w:sz w:val="25"/>
          <w:szCs w:val="25"/>
        </w:rPr>
        <w:t xml:space="preserve">, с приведением информации о величине сформированных и восстановленных резервов на возможные потери. </w:t>
      </w:r>
      <w:proofErr w:type="gramStart"/>
      <w:r>
        <w:rPr>
          <w:color w:val="22272F"/>
          <w:sz w:val="25"/>
          <w:szCs w:val="25"/>
        </w:rPr>
        <w:t>Одновременно приводится следующее определение обесцененной задолженности: "задолженность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(ненадлежащего исполнения)";</w:t>
      </w:r>
      <w:proofErr w:type="gramEnd"/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о характере и стоимости полученного обеспечения, включая информацию об обеспечении первой и второй категории качества, принятого</w:t>
      </w:r>
      <w:r>
        <w:rPr>
          <w:color w:val="22272F"/>
          <w:sz w:val="25"/>
          <w:szCs w:val="25"/>
        </w:rPr>
        <w:t xml:space="preserve"> </w:t>
      </w:r>
      <w:r w:rsidRPr="000170F4">
        <w:rPr>
          <w:color w:val="22272F"/>
          <w:sz w:val="25"/>
          <w:szCs w:val="25"/>
          <w:highlight w:val="yellow"/>
        </w:rPr>
        <w:t>в уменьшение расчетного резерва на возможные потери</w:t>
      </w:r>
      <w:r>
        <w:rPr>
          <w:color w:val="22272F"/>
          <w:sz w:val="25"/>
          <w:szCs w:val="25"/>
        </w:rPr>
        <w:t>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об объемах и видах активов, используемых и доступных для предоставления в качестве обеспечения с выделением ликвидных активов</w:t>
      </w:r>
      <w:r w:rsidR="000170F4">
        <w:rPr>
          <w:color w:val="22272F"/>
          <w:sz w:val="25"/>
          <w:szCs w:val="25"/>
        </w:rPr>
        <w:t xml:space="preserve">. </w:t>
      </w:r>
      <w:r>
        <w:rPr>
          <w:color w:val="22272F"/>
          <w:sz w:val="25"/>
          <w:szCs w:val="25"/>
        </w:rPr>
        <w:t>В отношении активов, переданных в обеспечение, дополнительно раскрывается информация об их балансовой (справедливой) стоимости, сроках и условиях передачи в обеспечение.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6.1.1.1. </w:t>
      </w:r>
      <w:r w:rsidRPr="00E172BE">
        <w:rPr>
          <w:color w:val="22272F"/>
          <w:sz w:val="25"/>
          <w:szCs w:val="25"/>
          <w:highlight w:val="yellow"/>
        </w:rPr>
        <w:t>По кредитному риску кредитные организации, получившие разрешение Банка России на применение банковских методик управления кредитными рисками и моделей количественной оценки кредитных рисков, используемых для определения величины кредитного риска на основе внутренних рейтингов (далее - ПВР</w:t>
      </w:r>
      <w:r>
        <w:rPr>
          <w:color w:val="22272F"/>
          <w:sz w:val="25"/>
          <w:szCs w:val="25"/>
        </w:rPr>
        <w:t>) в целях расчета нормативов достаточности капитала (далее - разрешение),</w:t>
      </w:r>
      <w:proofErr w:type="gramStart"/>
      <w:r>
        <w:rPr>
          <w:color w:val="22272F"/>
          <w:sz w:val="25"/>
          <w:szCs w:val="25"/>
        </w:rPr>
        <w:t xml:space="preserve"> ,</w:t>
      </w:r>
      <w:proofErr w:type="gramEnd"/>
      <w:r>
        <w:rPr>
          <w:color w:val="22272F"/>
          <w:sz w:val="25"/>
          <w:szCs w:val="25"/>
        </w:rPr>
        <w:t xml:space="preserve"> дополнительно раскрывают: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E172BE">
        <w:rPr>
          <w:color w:val="22272F"/>
          <w:sz w:val="25"/>
          <w:szCs w:val="25"/>
          <w:highlight w:val="yellow"/>
        </w:rPr>
        <w:t>информацию в разрезе базового ПВР (далее - БПВР) и продвинутого ПВР (далее - ППВР), методик и</w:t>
      </w:r>
      <w:r>
        <w:rPr>
          <w:color w:val="22272F"/>
          <w:sz w:val="25"/>
          <w:szCs w:val="25"/>
        </w:rPr>
        <w:t xml:space="preserve"> моделей количественной оценки кредитного риска, применяемых кредитной организацией в рамках ПВР (далее - методики и модели ПВР):</w:t>
      </w:r>
      <w:proofErr w:type="gramEnd"/>
    </w:p>
    <w:p w:rsidR="008547B8" w:rsidRPr="00E172BE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E172BE">
        <w:rPr>
          <w:color w:val="22272F"/>
          <w:sz w:val="25"/>
          <w:szCs w:val="25"/>
          <w:highlight w:val="yellow"/>
        </w:rPr>
        <w:t>о получении разрешения с указанием классов (сегментов) кредитных требований,</w:t>
      </w:r>
      <w:proofErr w:type="gramStart"/>
      <w:r w:rsidRPr="00E172BE">
        <w:rPr>
          <w:color w:val="22272F"/>
          <w:sz w:val="25"/>
          <w:szCs w:val="25"/>
          <w:highlight w:val="yellow"/>
        </w:rPr>
        <w:t xml:space="preserve"> ,</w:t>
      </w:r>
      <w:proofErr w:type="gramEnd"/>
      <w:r w:rsidRPr="00E172BE">
        <w:rPr>
          <w:color w:val="22272F"/>
          <w:sz w:val="25"/>
          <w:szCs w:val="25"/>
          <w:highlight w:val="yellow"/>
        </w:rPr>
        <w:t xml:space="preserve"> в отношении которых выдано разрешение;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E172BE">
        <w:rPr>
          <w:color w:val="22272F"/>
          <w:sz w:val="25"/>
          <w:szCs w:val="25"/>
          <w:highlight w:val="yellow"/>
        </w:rPr>
        <w:t>о методиках и моделях ПВР (включая описание используемых допущений);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 порядках и правилах применения кредитной организацией методик и моделей ПВР как части системы управления кредитными рисками;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о классах (сегментах) кредитных требований, к которым применяются методики и модели ПВР;</w:t>
      </w:r>
    </w:p>
    <w:p w:rsidR="008547B8" w:rsidRPr="00E172BE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E172BE">
        <w:rPr>
          <w:color w:val="22272F"/>
          <w:sz w:val="25"/>
          <w:szCs w:val="25"/>
          <w:highlight w:val="yellow"/>
        </w:rPr>
        <w:t>о структуре внутренней рейтинговой шкалы;</w:t>
      </w:r>
    </w:p>
    <w:p w:rsidR="008547B8" w:rsidRPr="00E172BE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E172BE">
        <w:rPr>
          <w:color w:val="22272F"/>
          <w:sz w:val="25"/>
          <w:szCs w:val="25"/>
          <w:highlight w:val="yellow"/>
        </w:rPr>
        <w:t>о рейтинговых агентствах и (или) бюро кредитных историй (далее - рейтинговые агентства), рейтинги которых применяются при реализации ПВР;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E172BE">
        <w:rPr>
          <w:color w:val="22272F"/>
          <w:sz w:val="25"/>
          <w:szCs w:val="25"/>
          <w:highlight w:val="yellow"/>
        </w:rPr>
        <w:t>о совокупной величине кредитного риска, определяемой в соответствии с</w:t>
      </w:r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hyperlink r:id="rId61" w:anchor="/document/71203444/entry/230" w:history="1">
        <w:r w:rsidRPr="00E172BE">
          <w:rPr>
            <w:rStyle w:val="a3"/>
            <w:color w:val="734C9B"/>
            <w:sz w:val="25"/>
            <w:szCs w:val="25"/>
            <w:highlight w:val="yellow"/>
          </w:rPr>
          <w:t>главой 3</w:t>
        </w:r>
      </w:hyperlink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r w:rsidRPr="00E172BE">
        <w:rPr>
          <w:color w:val="22272F"/>
          <w:sz w:val="25"/>
          <w:szCs w:val="25"/>
          <w:highlight w:val="yellow"/>
        </w:rPr>
        <w:t>Положения Банка России N 483-П;</w:t>
      </w:r>
    </w:p>
    <w:p w:rsidR="008547B8" w:rsidRPr="00E172BE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proofErr w:type="gramStart"/>
      <w:r w:rsidRPr="00E172BE">
        <w:rPr>
          <w:color w:val="22272F"/>
          <w:sz w:val="25"/>
          <w:szCs w:val="25"/>
          <w:highlight w:val="yellow"/>
        </w:rPr>
        <w:t>о значениях оценок вероятности дефолта заемщика (PD), а также при применении ППВР уровня потерь при дефолте (LGD) и величины кредитного требования, подверженной риску дефолта (EAD), использованных для оценки кредитного риска в соответствии с</w:t>
      </w:r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hyperlink r:id="rId62" w:anchor="/document/71203444/entry/0" w:history="1">
        <w:r w:rsidRPr="00E172BE">
          <w:rPr>
            <w:rStyle w:val="a3"/>
            <w:color w:val="734C9B"/>
            <w:sz w:val="25"/>
            <w:szCs w:val="25"/>
            <w:highlight w:val="yellow"/>
          </w:rPr>
          <w:t>Положением</w:t>
        </w:r>
      </w:hyperlink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r w:rsidRPr="00E172BE">
        <w:rPr>
          <w:color w:val="22272F"/>
          <w:sz w:val="25"/>
          <w:szCs w:val="25"/>
          <w:highlight w:val="yellow"/>
        </w:rPr>
        <w:t>Банка России N 483-П, в сравнении с их средними значениями за долгосрочный период, охватывающий полный цикл деловой активности (не менее пяти лет);</w:t>
      </w:r>
      <w:proofErr w:type="gramEnd"/>
    </w:p>
    <w:p w:rsidR="008547B8" w:rsidRPr="00E172BE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E172BE">
        <w:rPr>
          <w:color w:val="22272F"/>
          <w:sz w:val="25"/>
          <w:szCs w:val="25"/>
          <w:highlight w:val="yellow"/>
        </w:rPr>
        <w:t>о средних значениях вероятности дефолта заемщика (PD), а также при применении ППВР уровня потерь при дефолте (LGD) и величины кредитного требования, подверженной риску дефолта (EAD), взвешенных по суммам кредитных требований;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E172BE">
        <w:rPr>
          <w:color w:val="22272F"/>
          <w:sz w:val="25"/>
          <w:szCs w:val="25"/>
          <w:highlight w:val="yellow"/>
        </w:rPr>
        <w:t>о среднем значении коэффициента риска для кредитных требований, определяемого в соответствии с</w:t>
      </w:r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hyperlink r:id="rId63" w:anchor="/document/71203444/entry/240" w:history="1">
        <w:r w:rsidRPr="00E172BE">
          <w:rPr>
            <w:rStyle w:val="a3"/>
            <w:color w:val="734C9B"/>
            <w:sz w:val="25"/>
            <w:szCs w:val="25"/>
            <w:highlight w:val="yellow"/>
          </w:rPr>
          <w:t>главой 4</w:t>
        </w:r>
      </w:hyperlink>
      <w:r w:rsidRPr="00E172BE">
        <w:rPr>
          <w:rStyle w:val="apple-converted-space"/>
          <w:color w:val="22272F"/>
          <w:sz w:val="25"/>
          <w:szCs w:val="25"/>
          <w:highlight w:val="yellow"/>
        </w:rPr>
        <w:t> </w:t>
      </w:r>
      <w:r w:rsidRPr="00E172BE">
        <w:rPr>
          <w:color w:val="22272F"/>
          <w:sz w:val="25"/>
          <w:szCs w:val="25"/>
          <w:highlight w:val="yellow"/>
        </w:rPr>
        <w:t>Положения Банка России N 483-П, взвешенном по суммам кредитных требований.</w:t>
      </w:r>
    </w:p>
    <w:p w:rsidR="008547B8" w:rsidRPr="00E172BE" w:rsidRDefault="008547B8" w:rsidP="008547B8">
      <w:pPr>
        <w:pStyle w:val="s1"/>
        <w:jc w:val="both"/>
        <w:rPr>
          <w:color w:val="FF0000"/>
          <w:sz w:val="25"/>
          <w:szCs w:val="25"/>
        </w:rPr>
      </w:pPr>
      <w:r w:rsidRPr="00E172BE">
        <w:rPr>
          <w:color w:val="FF0000"/>
          <w:sz w:val="25"/>
          <w:szCs w:val="25"/>
          <w:highlight w:val="yellow"/>
        </w:rPr>
        <w:t>6.1.1.2. По кредитному риску контрагента необходимо раскрывать следующую информацию: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описание используемой кредитной организацией методологии для определения экономического капитала и установления лимитов в части риска на контрагента;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политике кредитной организации по принятому обеспечению в целях ограничения риска на контрагента и определения размеров резервов на возможные потери;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влиянии снижения рейтинга кредитоспособности кредитной организации на объем дополнительного обеспечения, которое кредитная организация должна предоставить по своим обязательствам;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размер текущего кредитного риска по ПФИ (положительную справедливую стоимость ПФИ) без учета его снижения в связи с имеющимся соглашением о </w:t>
      </w:r>
      <w:proofErr w:type="spellStart"/>
      <w:r>
        <w:rPr>
          <w:color w:val="22272F"/>
          <w:sz w:val="25"/>
          <w:szCs w:val="25"/>
        </w:rPr>
        <w:t>неттинге</w:t>
      </w:r>
      <w:proofErr w:type="spellEnd"/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принятом обеспечении с раскрытием его видов (денежные средства, государственные ценные бумаги и так далее);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 xml:space="preserve">степень снижения текущего кредитного риска по ПФИ в связи с их включением в соглашение о </w:t>
      </w:r>
      <w:proofErr w:type="spellStart"/>
      <w:r>
        <w:rPr>
          <w:color w:val="22272F"/>
          <w:sz w:val="25"/>
          <w:szCs w:val="25"/>
        </w:rPr>
        <w:t>неттинге</w:t>
      </w:r>
      <w:proofErr w:type="spellEnd"/>
      <w:r>
        <w:rPr>
          <w:color w:val="22272F"/>
          <w:sz w:val="25"/>
          <w:szCs w:val="25"/>
        </w:rPr>
        <w:t xml:space="preserve"> (отношение стоимости замещения по ПФИ, включенным в соглашение о </w:t>
      </w:r>
      <w:proofErr w:type="spellStart"/>
      <w:r>
        <w:rPr>
          <w:color w:val="22272F"/>
          <w:sz w:val="25"/>
          <w:szCs w:val="25"/>
        </w:rPr>
        <w:t>неттинге</w:t>
      </w:r>
      <w:proofErr w:type="spellEnd"/>
      <w:r>
        <w:rPr>
          <w:color w:val="22272F"/>
          <w:sz w:val="25"/>
          <w:szCs w:val="25"/>
        </w:rPr>
        <w:t xml:space="preserve"> по ПФИ, и стоимости замещения по ПФИ, включенным в соглашение о </w:t>
      </w:r>
      <w:proofErr w:type="spellStart"/>
      <w:r>
        <w:rPr>
          <w:color w:val="22272F"/>
          <w:sz w:val="25"/>
          <w:szCs w:val="25"/>
        </w:rPr>
        <w:t>неттинге</w:t>
      </w:r>
      <w:proofErr w:type="spellEnd"/>
      <w:r>
        <w:rPr>
          <w:color w:val="22272F"/>
          <w:sz w:val="25"/>
          <w:szCs w:val="25"/>
        </w:rPr>
        <w:t xml:space="preserve"> по ПФИ, рассчитанной без учета этого соглашения);</w:t>
      </w:r>
      <w:proofErr w:type="gramEnd"/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 xml:space="preserve">размер текущего кредитного риска по ПФИ, определенный с учетом его снижения, в связи с включением в соглашение о </w:t>
      </w:r>
      <w:proofErr w:type="spellStart"/>
      <w:r>
        <w:rPr>
          <w:color w:val="22272F"/>
          <w:sz w:val="25"/>
          <w:szCs w:val="25"/>
        </w:rPr>
        <w:t>неттинге</w:t>
      </w:r>
      <w:proofErr w:type="spellEnd"/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информацию о подходе, применяемом для определения кредитного риска по ПФИ. В этих целях кредитная организация раскрывает следующую информацию: "Величина кредитного риска по ПФИ определяется как сумма величины текущего и потенциального рисков. Текущий кредитный риск определяется как стоимость замещения финансового инструмента, отражающая на отчетную дату величину потерь в случае неисполнения контрагентом своих обязательств. Потенциальный кредитный риск определяется как риск неисполнения контрагентом своих обязательств </w:t>
      </w:r>
      <w:proofErr w:type="gramStart"/>
      <w:r>
        <w:rPr>
          <w:color w:val="22272F"/>
          <w:sz w:val="25"/>
          <w:szCs w:val="25"/>
        </w:rPr>
        <w:t>в течение срока от отчетной даты до даты валютирования в связи с неблагоприятным изменением</w:t>
      </w:r>
      <w:proofErr w:type="gramEnd"/>
      <w:r>
        <w:rPr>
          <w:color w:val="22272F"/>
          <w:sz w:val="25"/>
          <w:szCs w:val="25"/>
        </w:rPr>
        <w:t xml:space="preserve"> стоимости базисного (базового) актива.".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6.1.2. По рыночному риску: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структуре финансовых активов, предназначенных для торговли (далее - торговый портфель), методологии определения стоимости инструментов торгового портфеля, размерах требований к капиталу в отношении рыночного риска, методологии измерения рыночного риска. Понятие "торговый портфель" используется в значении, определяемым</w:t>
      </w:r>
      <w:r>
        <w:rPr>
          <w:rStyle w:val="apple-converted-space"/>
          <w:color w:val="22272F"/>
          <w:sz w:val="25"/>
          <w:szCs w:val="25"/>
        </w:rPr>
        <w:t> </w:t>
      </w:r>
      <w:hyperlink r:id="rId64" w:anchor="/document/70108363/entry/0" w:history="1">
        <w:r>
          <w:rPr>
            <w:rStyle w:val="a3"/>
            <w:color w:val="734C9B"/>
            <w:sz w:val="25"/>
            <w:szCs w:val="25"/>
          </w:rPr>
          <w:t>Международным стандартом финансовой отчетности (IAS) 39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"Финансовые инструменты: признание и оценка";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об анализе чувствительности кредитной организации к каждому виду рыночных рисков (процентный риск, валютный риск, фондовый риск, товарный риск), которым она подвержена, с отражением влияния на финансовый результат и капитал кредитной организации изменений соответствующих факторов риска (обменных курсов валют, рыночных процентных ставок, курса акций, неблагоприятного изменения динамики товарных цен) по состоянию на отчетную дату.</w:t>
      </w:r>
      <w:proofErr w:type="gramEnd"/>
      <w:r>
        <w:rPr>
          <w:color w:val="22272F"/>
          <w:sz w:val="25"/>
          <w:szCs w:val="25"/>
        </w:rPr>
        <w:t xml:space="preserve"> Кредитная организация может использовать для целей раскрытия анализ чувствительности, отражающий взаимосвязь между факторами риска (например, метод стоимостной оценки рисков (</w:t>
      </w:r>
      <w:proofErr w:type="spellStart"/>
      <w:r>
        <w:rPr>
          <w:color w:val="22272F"/>
          <w:sz w:val="25"/>
          <w:szCs w:val="25"/>
        </w:rPr>
        <w:t>VaR-analysis</w:t>
      </w:r>
      <w:proofErr w:type="spellEnd"/>
      <w:r>
        <w:rPr>
          <w:color w:val="22272F"/>
          <w:sz w:val="25"/>
          <w:szCs w:val="25"/>
        </w:rPr>
        <w:t xml:space="preserve">, </w:t>
      </w:r>
      <w:proofErr w:type="spellStart"/>
      <w:r>
        <w:rPr>
          <w:color w:val="22272F"/>
          <w:sz w:val="25"/>
          <w:szCs w:val="25"/>
        </w:rPr>
        <w:t>value-at-risk</w:t>
      </w:r>
      <w:proofErr w:type="spellEnd"/>
      <w:r>
        <w:rPr>
          <w:color w:val="22272F"/>
          <w:sz w:val="25"/>
          <w:szCs w:val="25"/>
        </w:rPr>
        <w:t>) в случае его использования в целях управления рыночным риском).</w:t>
      </w:r>
    </w:p>
    <w:p w:rsidR="008547B8" w:rsidRPr="003857E7" w:rsidRDefault="008547B8" w:rsidP="008547B8">
      <w:pPr>
        <w:pStyle w:val="s1"/>
        <w:jc w:val="both"/>
        <w:rPr>
          <w:color w:val="FF0000"/>
          <w:sz w:val="25"/>
          <w:szCs w:val="25"/>
        </w:rPr>
      </w:pPr>
      <w:r w:rsidRPr="003857E7">
        <w:rPr>
          <w:color w:val="FF0000"/>
          <w:sz w:val="25"/>
          <w:szCs w:val="25"/>
          <w:highlight w:val="yellow"/>
        </w:rPr>
        <w:t>6.1.3. По операционному риску:</w:t>
      </w:r>
    </w:p>
    <w:p w:rsidR="00DB1719" w:rsidRDefault="00DB1719" w:rsidP="008547B8">
      <w:pPr>
        <w:pStyle w:val="s1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Операционный риск – это вероятность возникновения убытков в результате недостатков или ошибок во внутренних процессах банка, в действиях сотрудников и иных лиц, в работе информационных систем, либо вследствие внешнего воздействия.</w:t>
      </w:r>
    </w:p>
    <w:p w:rsidR="008547B8" w:rsidRPr="003857E7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3857E7">
        <w:rPr>
          <w:color w:val="22272F"/>
          <w:sz w:val="25"/>
          <w:szCs w:val="25"/>
          <w:highlight w:val="yellow"/>
        </w:rPr>
        <w:t>о размере требований к капиталу в отношении операционного риска, а также о величине доходов (чистых процентных и непроцентных), используемых для целей расчета требований капитала на покрытие операционного риска;</w:t>
      </w:r>
    </w:p>
    <w:p w:rsidR="008547B8" w:rsidRPr="003857E7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3857E7">
        <w:rPr>
          <w:color w:val="22272F"/>
          <w:sz w:val="25"/>
          <w:szCs w:val="25"/>
          <w:highlight w:val="yellow"/>
        </w:rPr>
        <w:t>о методах, используемых кредитной организацией для снижения операционного риска;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3857E7">
        <w:rPr>
          <w:color w:val="22272F"/>
          <w:sz w:val="25"/>
          <w:szCs w:val="25"/>
          <w:highlight w:val="yellow"/>
        </w:rPr>
        <w:t>о подходе, который кредитная организация использует в целях оценки требований к капиталу в отношении операционного риска.</w:t>
      </w:r>
    </w:p>
    <w:p w:rsidR="008547B8" w:rsidRPr="00DB1719" w:rsidRDefault="008547B8" w:rsidP="008547B8">
      <w:pPr>
        <w:pStyle w:val="s1"/>
        <w:jc w:val="both"/>
        <w:rPr>
          <w:color w:val="FF0000"/>
          <w:sz w:val="25"/>
          <w:szCs w:val="25"/>
        </w:rPr>
      </w:pPr>
      <w:r w:rsidRPr="00DB1719">
        <w:rPr>
          <w:color w:val="FF0000"/>
          <w:sz w:val="25"/>
          <w:szCs w:val="25"/>
          <w:highlight w:val="yellow"/>
        </w:rPr>
        <w:t>6.1.4. По риску инвестиций в долговые инструменты:</w:t>
      </w:r>
    </w:p>
    <w:p w:rsidR="00DB1719" w:rsidRDefault="00DB1719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основным рисков при долговых инвестициях, таким образом, становится кредитный риск – риск </w:t>
      </w:r>
      <w:proofErr w:type="spellStart"/>
      <w:r>
        <w:rPr>
          <w:rFonts w:ascii="Georgia" w:hAnsi="Georgia"/>
          <w:color w:val="333333"/>
          <w:sz w:val="22"/>
          <w:szCs w:val="22"/>
          <w:shd w:val="clear" w:color="auto" w:fill="FFFFFF"/>
        </w:rPr>
        <w:t>невозврата</w:t>
      </w:r>
      <w:proofErr w:type="spellEnd"/>
      <w:r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вложений и процентов по ним.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FF0000"/>
          <w:sz w:val="25"/>
          <w:szCs w:val="25"/>
          <w:highlight w:val="yellow"/>
        </w:rPr>
        <w:lastRenderedPageBreak/>
        <w:t>об объеме и анализе чувствительности стоимости долговых ценных бумаг к изменениям процентных ставок в разрезе категорий ценных бумаг</w:t>
      </w:r>
      <w:r w:rsidRPr="00DB1719">
        <w:rPr>
          <w:color w:val="22272F"/>
          <w:sz w:val="25"/>
          <w:szCs w:val="25"/>
          <w:highlight w:val="yellow"/>
        </w:rPr>
        <w:t>, оцениваемых по справедливой стоимости через прибыль (убыток) и имеющихся в наличии для продажи, видов облигаций, видов валют</w:t>
      </w:r>
      <w:r>
        <w:rPr>
          <w:color w:val="22272F"/>
          <w:sz w:val="25"/>
          <w:szCs w:val="25"/>
        </w:rPr>
        <w:t>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6.1.5. По </w:t>
      </w:r>
      <w:r w:rsidRPr="00DB1719">
        <w:rPr>
          <w:color w:val="22272F"/>
          <w:sz w:val="25"/>
          <w:szCs w:val="25"/>
          <w:highlight w:val="yellow"/>
        </w:rPr>
        <w:t>риску инвестиций в долевые ценные бумаги (акции, доли участия в уставном капитале юридических лиц, паи в паевых инвестиционных фондах), не входящие в торговый портфель</w:t>
      </w:r>
      <w:r>
        <w:rPr>
          <w:color w:val="22272F"/>
          <w:sz w:val="25"/>
          <w:szCs w:val="25"/>
        </w:rPr>
        <w:t xml:space="preserve"> (далее - инвестиции в долевые ценные бумаги, не входящие в торговый портфель):</w:t>
      </w:r>
      <w:r w:rsidR="00DB1719">
        <w:rPr>
          <w:color w:val="22272F"/>
          <w:sz w:val="25"/>
          <w:szCs w:val="25"/>
        </w:rPr>
        <w:t xml:space="preserve"> +рыночный риск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FF0000"/>
          <w:sz w:val="25"/>
          <w:szCs w:val="25"/>
          <w:highlight w:val="yellow"/>
        </w:rPr>
        <w:t>политику кредитной организации в области инвестиций в долевые ценные бумаги, не входящие в торговый портфель</w:t>
      </w:r>
      <w:r w:rsidRPr="00DB1719">
        <w:rPr>
          <w:color w:val="22272F"/>
          <w:sz w:val="25"/>
          <w:szCs w:val="25"/>
          <w:highlight w:val="yellow"/>
        </w:rPr>
        <w:t>,</w:t>
      </w:r>
      <w:r>
        <w:rPr>
          <w:color w:val="22272F"/>
          <w:sz w:val="25"/>
          <w:szCs w:val="25"/>
        </w:rPr>
        <w:t xml:space="preserve"> включая различия между инвестициями, осуществленными с целью получения прибыли, и инвестициями, осуществленными с целью контроля деятельности юридического лица либо оказания значительного влияния на деятельность юридического лица;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краткое описание учетной политики кредитной организации в отношении долевых ценных бумаг, не входящих в торговый портфель</w:t>
      </w:r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DB1719">
        <w:rPr>
          <w:color w:val="22272F"/>
          <w:sz w:val="25"/>
          <w:szCs w:val="25"/>
          <w:highlight w:val="yellow"/>
        </w:rPr>
        <w:t>информацию об объеме и о структуре портфеля ценных бумаг, не входящих в торговый портфель, в разрезе целей инвестиций</w:t>
      </w:r>
      <w:r>
        <w:rPr>
          <w:color w:val="22272F"/>
          <w:sz w:val="25"/>
          <w:szCs w:val="25"/>
        </w:rPr>
        <w:t xml:space="preserve"> (инвестиции с целью получения прибыли, с целью осуществления контроля либо оказания значительного влияния на деятельность юридического лица), видов инструментов (акции, доли участия в уставном капитале юридических лиц, паи в паевых инвестиционных фондах) с выделением инструментов, оцениваемых по справедливой стоимости через прибыль (убыток</w:t>
      </w:r>
      <w:proofErr w:type="gramEnd"/>
      <w:r>
        <w:rPr>
          <w:color w:val="22272F"/>
          <w:sz w:val="25"/>
          <w:szCs w:val="25"/>
        </w:rPr>
        <w:t xml:space="preserve">), </w:t>
      </w:r>
      <w:r w:rsidRPr="00DB1719">
        <w:rPr>
          <w:color w:val="22272F"/>
          <w:sz w:val="25"/>
          <w:szCs w:val="25"/>
          <w:highlight w:val="yellow"/>
        </w:rPr>
        <w:t>в том числе торгуемых на организованном рынке, инструментов, имеющихся в наличии для продажи, инструментов, учитываемых по себестоимости, с указанием по ним размера требований, взвешенных по риску, объема требуемого капитала на покрытие данного вида риска;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DB1719">
        <w:rPr>
          <w:color w:val="22272F"/>
          <w:sz w:val="25"/>
          <w:szCs w:val="25"/>
          <w:highlight w:val="yellow"/>
        </w:rPr>
        <w:t>информацию о справедливой стоимости инвестиций в долевые ценные бумаги, не входящие в торговый портфель, отражаемых в бухгалтерском учете по себестоимости, по которым имеются исходные данные первого и второго уровней для определения справедливой стоимости</w:t>
      </w:r>
      <w:r>
        <w:rPr>
          <w:color w:val="22272F"/>
          <w:sz w:val="25"/>
          <w:szCs w:val="25"/>
        </w:rPr>
        <w:t xml:space="preserve"> в соответствии с</w:t>
      </w:r>
      <w:r>
        <w:rPr>
          <w:rStyle w:val="apple-converted-space"/>
          <w:color w:val="22272F"/>
          <w:sz w:val="25"/>
          <w:szCs w:val="25"/>
        </w:rPr>
        <w:t> </w:t>
      </w:r>
      <w:hyperlink r:id="rId65" w:anchor="/document/70215348/entry/0" w:history="1">
        <w:r>
          <w:rPr>
            <w:rStyle w:val="a3"/>
            <w:color w:val="734C9B"/>
            <w:sz w:val="25"/>
            <w:szCs w:val="25"/>
          </w:rPr>
          <w:t>МСФО (IFRS) 13</w:t>
        </w:r>
      </w:hyperlink>
      <w:r>
        <w:rPr>
          <w:color w:val="22272F"/>
          <w:sz w:val="25"/>
          <w:szCs w:val="25"/>
        </w:rPr>
        <w:t>, а также информацию о котировках ценных бумаг на активном рынке в случае, если стоимость ценных бумаг, определенная на основе котировок на</w:t>
      </w:r>
      <w:proofErr w:type="gramEnd"/>
      <w:r>
        <w:rPr>
          <w:color w:val="22272F"/>
          <w:sz w:val="25"/>
          <w:szCs w:val="25"/>
        </w:rPr>
        <w:t xml:space="preserve"> активном </w:t>
      </w:r>
      <w:proofErr w:type="gramStart"/>
      <w:r>
        <w:rPr>
          <w:color w:val="22272F"/>
          <w:sz w:val="25"/>
          <w:szCs w:val="25"/>
        </w:rPr>
        <w:t>рынке</w:t>
      </w:r>
      <w:proofErr w:type="gramEnd"/>
      <w:r>
        <w:rPr>
          <w:color w:val="22272F"/>
          <w:sz w:val="25"/>
          <w:szCs w:val="25"/>
        </w:rPr>
        <w:t>, и их справедливая стоимость, определенная кредитной организацией, существенно отличаются;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информацию о размере прибыли (убытка) от продажи долевых ценных бумаг, не входящих в торговый портфель</w:t>
      </w:r>
      <w:r>
        <w:rPr>
          <w:color w:val="22272F"/>
          <w:sz w:val="25"/>
          <w:szCs w:val="25"/>
        </w:rPr>
        <w:t>, в отчетном периоде;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информацию об объеме сформированных (восстановленных) резервов на возможные потери в отношении</w:t>
      </w:r>
      <w:r>
        <w:rPr>
          <w:color w:val="22272F"/>
          <w:sz w:val="25"/>
          <w:szCs w:val="25"/>
        </w:rPr>
        <w:t xml:space="preserve"> инвестиций в долевые ценные бумаги, не входящие в торговый портфель;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сведения о полученных доходах (дивидендах) от инвестиций в долевые ценные бумаги, не входящие в торговый портфель</w:t>
      </w:r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lastRenderedPageBreak/>
        <w:t>сведения об объеме реализованных</w:t>
      </w:r>
      <w:r>
        <w:rPr>
          <w:color w:val="22272F"/>
          <w:sz w:val="25"/>
          <w:szCs w:val="25"/>
        </w:rPr>
        <w:t xml:space="preserve"> (нереализованных) доходов (расходов) от </w:t>
      </w:r>
      <w:r w:rsidRPr="00DB1719">
        <w:rPr>
          <w:color w:val="22272F"/>
          <w:sz w:val="25"/>
          <w:szCs w:val="25"/>
          <w:highlight w:val="yellow"/>
        </w:rPr>
        <w:t>переоценки инвестиций в долевые ценные</w:t>
      </w:r>
      <w:r>
        <w:rPr>
          <w:color w:val="22272F"/>
          <w:sz w:val="25"/>
          <w:szCs w:val="25"/>
        </w:rPr>
        <w:t xml:space="preserve"> бумаги, не входящие в торговый портфель, признанных кредитной организацией на счетах капитала;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сведения об объеме нереализованных доходов (расходов) от переоценки инвестиций в долевые ценные бумаги, не входящие в торговый портфель, не признанных кредитной организацией на счетах капитала и в</w:t>
      </w:r>
      <w:r>
        <w:rPr>
          <w:rStyle w:val="apple-converted-space"/>
          <w:color w:val="22272F"/>
          <w:sz w:val="25"/>
          <w:szCs w:val="25"/>
        </w:rPr>
        <w:t> </w:t>
      </w:r>
      <w:hyperlink r:id="rId66" w:anchor="/document/12171690/entry/1058" w:history="1">
        <w:r>
          <w:rPr>
            <w:rStyle w:val="a3"/>
            <w:color w:val="734C9B"/>
            <w:sz w:val="25"/>
            <w:szCs w:val="25"/>
          </w:rPr>
          <w:t>отчете</w:t>
        </w:r>
      </w:hyperlink>
      <w:r>
        <w:rPr>
          <w:rStyle w:val="apple-converted-space"/>
          <w:color w:val="22272F"/>
          <w:sz w:val="25"/>
          <w:szCs w:val="25"/>
        </w:rPr>
        <w:t> </w:t>
      </w:r>
      <w:r>
        <w:rPr>
          <w:color w:val="22272F"/>
          <w:sz w:val="25"/>
          <w:szCs w:val="25"/>
        </w:rPr>
        <w:t>о финансовых результатах;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информацию о реализованных (нереализованных) доходах (расходах) от инвестиций в долевые ценные бумаги, не входящие в торговый портфель, включенных в основной капитал и (или) дополнительный капитал кредитной организации;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DB1719">
        <w:rPr>
          <w:color w:val="22272F"/>
          <w:sz w:val="25"/>
          <w:szCs w:val="25"/>
          <w:highlight w:val="yellow"/>
        </w:rPr>
        <w:t>объем требований к капиталу в отношении инвестиций в долевые ценные бумаги в разрезе видов долевых ценных бумаг финансовых и нефинансовых организаций с приведением информации о предоставленном</w:t>
      </w:r>
      <w:r>
        <w:rPr>
          <w:color w:val="22272F"/>
          <w:sz w:val="25"/>
          <w:szCs w:val="25"/>
        </w:rPr>
        <w:t xml:space="preserve"> Банком России праве поэтапного исключения из расчета собственных средств (капитала) кредитной организации инвестиций в долевые ценные бумаги финансовых организаций, сгруппированных в соответствии с методологией, принятой в кредитной организации.</w:t>
      </w:r>
      <w:proofErr w:type="gramEnd"/>
    </w:p>
    <w:p w:rsidR="008547B8" w:rsidRPr="00DB1719" w:rsidRDefault="008547B8" w:rsidP="008547B8">
      <w:pPr>
        <w:pStyle w:val="s1"/>
        <w:jc w:val="both"/>
        <w:rPr>
          <w:color w:val="FF0000"/>
          <w:sz w:val="25"/>
          <w:szCs w:val="25"/>
        </w:rPr>
      </w:pPr>
      <w:r w:rsidRPr="00DB1719">
        <w:rPr>
          <w:color w:val="FF0000"/>
          <w:sz w:val="25"/>
          <w:szCs w:val="25"/>
          <w:highlight w:val="yellow"/>
        </w:rPr>
        <w:t>6.1.6. По процентному риску банковского портфеля: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об объеме, о структуре и чувствительности стоимости финансовых инструментов к изменениям процентных ставок</w:t>
      </w:r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 w:rsidRPr="00DB1719">
        <w:rPr>
          <w:color w:val="22272F"/>
          <w:sz w:val="25"/>
          <w:szCs w:val="25"/>
          <w:highlight w:val="yellow"/>
        </w:rPr>
        <w:t xml:space="preserve">об источниках процентного риска (риск изменения стоимости позиций, связанный с временными различиями в сроках погашения (для фиксированной процентной ставки) и изменением стоимости балансовых и </w:t>
      </w:r>
      <w:proofErr w:type="spellStart"/>
      <w:r w:rsidRPr="00DB1719">
        <w:rPr>
          <w:color w:val="22272F"/>
          <w:sz w:val="25"/>
          <w:szCs w:val="25"/>
          <w:highlight w:val="yellow"/>
        </w:rPr>
        <w:t>внебалансовых</w:t>
      </w:r>
      <w:proofErr w:type="spellEnd"/>
      <w:r w:rsidRPr="00DB1719">
        <w:rPr>
          <w:color w:val="22272F"/>
          <w:sz w:val="25"/>
          <w:szCs w:val="25"/>
          <w:highlight w:val="yellow"/>
        </w:rPr>
        <w:t xml:space="preserve"> требований и обязательств (для плавающей процентной ставки), риск изменения кривой доходности, базисный риск, опционный риск), о периодичности оценки риска и об основных допущениях, используемых для оценки риска</w:t>
      </w:r>
      <w:r>
        <w:rPr>
          <w:color w:val="22272F"/>
          <w:sz w:val="25"/>
          <w:szCs w:val="25"/>
        </w:rPr>
        <w:t xml:space="preserve"> (допущения о досрочном погашении кредитов, поведении инвесторов в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отношении</w:t>
      </w:r>
      <w:proofErr w:type="gramEnd"/>
      <w:r>
        <w:rPr>
          <w:color w:val="22272F"/>
          <w:sz w:val="25"/>
          <w:szCs w:val="25"/>
        </w:rPr>
        <w:t xml:space="preserve"> депозитов, не имеющих фиксированных сроков погашения и так далее), описание сценариев, применяемых кредитной организацией;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DB1719">
        <w:rPr>
          <w:color w:val="22272F"/>
          <w:sz w:val="25"/>
          <w:szCs w:val="25"/>
          <w:highlight w:val="yellow"/>
        </w:rPr>
        <w:t>об анализе влияния изменения процентного риска на финансовый результат и капитал кредитной организации в разрезе видов валю</w:t>
      </w:r>
      <w:r>
        <w:rPr>
          <w:color w:val="22272F"/>
          <w:sz w:val="25"/>
          <w:szCs w:val="25"/>
        </w:rPr>
        <w:t>т.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6.1.7. По риску ликвидности: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описание организационной структуры кредитной организации в части управления риском ликвидности и деятельности по привлечению фондирования, установлению лимитов и внутригрупповому кредитованию. Распределение полномочий по управлению риском ликвидности между подразделениями и комитетами кредитной организации и взаимодействие между ними. Степень централизации функции казначейства и функции управления риском ликвидности, а также описание взаимодействия подразделений кредитной организации при выполнении данных функций;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краткое описание факторов возникновения риска ликвидности;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lastRenderedPageBreak/>
        <w:t>краткое описание политики в области управления риском ликвидности, включая политику по поддержанию резерва ликвидности, методологию измерения ликвидной позиции кредитной организации, в том числе показателей, характеризующих ликвидную позицию кредитной организации, не поименованных в настоящем Указании в числе показателей, подлежащих обязательному раскрытию, но используемых кредитной организацией в целях управления ликвидностью, лимиты таких показателей и их значения (например, имеющийся у кредитной организации резерв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 xml:space="preserve">ликвидности, требования по дополнительному обеспечению по договорам на привлечение денежных средств в связи со снижением рейтинга кредитной организации), результаты распределения балансовых активов и обязательств и </w:t>
      </w:r>
      <w:proofErr w:type="spellStart"/>
      <w:r>
        <w:rPr>
          <w:color w:val="22272F"/>
          <w:sz w:val="25"/>
          <w:szCs w:val="25"/>
        </w:rPr>
        <w:t>внебалансовых</w:t>
      </w:r>
      <w:proofErr w:type="spellEnd"/>
      <w:r>
        <w:rPr>
          <w:color w:val="22272F"/>
          <w:sz w:val="25"/>
          <w:szCs w:val="25"/>
        </w:rPr>
        <w:t xml:space="preserve"> статей по срокам востребования (погашения) с приведением кумулятивной величины совокупного разрыва (</w:t>
      </w:r>
      <w:proofErr w:type="spellStart"/>
      <w:r>
        <w:rPr>
          <w:color w:val="22272F"/>
          <w:sz w:val="25"/>
          <w:szCs w:val="25"/>
        </w:rPr>
        <w:t>ГЭПа</w:t>
      </w:r>
      <w:proofErr w:type="spellEnd"/>
      <w:r>
        <w:rPr>
          <w:color w:val="22272F"/>
          <w:sz w:val="25"/>
          <w:szCs w:val="25"/>
        </w:rPr>
        <w:t>) по всем срокам);</w:t>
      </w:r>
      <w:proofErr w:type="gramEnd"/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описание применяемых методов снижения риска ликвидности и методологии </w:t>
      </w:r>
      <w:proofErr w:type="spellStart"/>
      <w:proofErr w:type="gramStart"/>
      <w:r>
        <w:rPr>
          <w:color w:val="22272F"/>
          <w:sz w:val="25"/>
          <w:szCs w:val="25"/>
        </w:rPr>
        <w:t>стресс-тестирования</w:t>
      </w:r>
      <w:proofErr w:type="spellEnd"/>
      <w:proofErr w:type="gramEnd"/>
      <w:r>
        <w:rPr>
          <w:color w:val="22272F"/>
          <w:sz w:val="25"/>
          <w:szCs w:val="25"/>
        </w:rPr>
        <w:t xml:space="preserve"> по отношению к риску ликвидности, включая описание используемых сценариев </w:t>
      </w:r>
      <w:proofErr w:type="spellStart"/>
      <w:r>
        <w:rPr>
          <w:color w:val="22272F"/>
          <w:sz w:val="25"/>
          <w:szCs w:val="25"/>
        </w:rPr>
        <w:t>стресс-тестирования</w:t>
      </w:r>
      <w:proofErr w:type="spellEnd"/>
      <w:r>
        <w:rPr>
          <w:color w:val="22272F"/>
          <w:sz w:val="25"/>
          <w:szCs w:val="25"/>
        </w:rPr>
        <w:t xml:space="preserve">, порядок использования результатов </w:t>
      </w:r>
      <w:proofErr w:type="spellStart"/>
      <w:r>
        <w:rPr>
          <w:color w:val="22272F"/>
          <w:sz w:val="25"/>
          <w:szCs w:val="25"/>
        </w:rPr>
        <w:t>стресс-тестирования</w:t>
      </w:r>
      <w:proofErr w:type="spellEnd"/>
      <w:r>
        <w:rPr>
          <w:color w:val="22272F"/>
          <w:sz w:val="25"/>
          <w:szCs w:val="25"/>
        </w:rPr>
        <w:t xml:space="preserve"> при управлении риском ликвидности;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описание, каким образом риск ликвидности, заключенный в активах, имеющих котировки активного рынка, учитывается в методологии управления риском фондирования;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краткое описание планов управления риском ликвидности в случаях чрезвычайных ситуаций, включая описание того, как указанные планы связаны со </w:t>
      </w:r>
      <w:proofErr w:type="spellStart"/>
      <w:proofErr w:type="gramStart"/>
      <w:r>
        <w:rPr>
          <w:color w:val="22272F"/>
          <w:sz w:val="25"/>
          <w:szCs w:val="25"/>
        </w:rPr>
        <w:t>стресс-тестированием</w:t>
      </w:r>
      <w:proofErr w:type="spellEnd"/>
      <w:proofErr w:type="gramEnd"/>
      <w:r>
        <w:rPr>
          <w:color w:val="22272F"/>
          <w:sz w:val="25"/>
          <w:szCs w:val="25"/>
        </w:rPr>
        <w:t>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виды и периодичность отчетов кредитной организации по риску ликвидности;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контроль за</w:t>
      </w:r>
      <w:proofErr w:type="gramEnd"/>
      <w:r>
        <w:rPr>
          <w:color w:val="22272F"/>
          <w:sz w:val="25"/>
          <w:szCs w:val="25"/>
        </w:rPr>
        <w:t xml:space="preserve"> управлением риском ликвидности.</w:t>
      </w:r>
    </w:p>
    <w:p w:rsidR="008547B8" w:rsidRPr="008547B8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8547B8">
        <w:rPr>
          <w:color w:val="22272F"/>
          <w:sz w:val="25"/>
          <w:szCs w:val="25"/>
          <w:highlight w:val="yellow"/>
        </w:rPr>
        <w:t>6.2. Информация об управлении капиталом должна раскрывать следующие данные:</w:t>
      </w:r>
    </w:p>
    <w:p w:rsidR="008547B8" w:rsidRPr="008547B8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8547B8">
        <w:rPr>
          <w:color w:val="22272F"/>
          <w:sz w:val="25"/>
          <w:szCs w:val="25"/>
          <w:highlight w:val="yellow"/>
        </w:rPr>
        <w:t>информацию о целях, политике и процедурах управления капиталом, принятых в кредитной организации;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информацию об изменениях в политике кредитной организации по управлению капиталом, включая изменения количественных данных, установленных в целях управления капиталом;</w:t>
      </w:r>
    </w:p>
    <w:p w:rsidR="008547B8" w:rsidRPr="008547B8" w:rsidRDefault="008547B8" w:rsidP="008547B8">
      <w:pPr>
        <w:pStyle w:val="s1"/>
        <w:jc w:val="both"/>
        <w:rPr>
          <w:color w:val="22272F"/>
          <w:sz w:val="25"/>
          <w:szCs w:val="25"/>
          <w:highlight w:val="yellow"/>
        </w:rPr>
      </w:pPr>
      <w:r w:rsidRPr="008547B8">
        <w:rPr>
          <w:color w:val="22272F"/>
          <w:sz w:val="25"/>
          <w:szCs w:val="25"/>
          <w:highlight w:val="yellow"/>
        </w:rPr>
        <w:t>информацию о дивидендах, признанных в качестве выплат в пользу акционеров (участников) в течение отчетного периода;</w:t>
      </w:r>
    </w:p>
    <w:p w:rsidR="008547B8" w:rsidRDefault="008547B8" w:rsidP="008547B8">
      <w:pPr>
        <w:pStyle w:val="s1"/>
        <w:jc w:val="both"/>
        <w:rPr>
          <w:color w:val="22272F"/>
          <w:sz w:val="25"/>
          <w:szCs w:val="25"/>
        </w:rPr>
      </w:pPr>
      <w:r w:rsidRPr="008547B8">
        <w:rPr>
          <w:color w:val="22272F"/>
          <w:sz w:val="25"/>
          <w:szCs w:val="25"/>
          <w:highlight w:val="yellow"/>
        </w:rPr>
        <w:t>информацию о непризнанных дивидендах по кумулятивным привилегированным акциям в</w:t>
      </w:r>
      <w:r w:rsidRPr="008547B8">
        <w:rPr>
          <w:rStyle w:val="apple-converted-space"/>
          <w:color w:val="22272F"/>
          <w:sz w:val="25"/>
          <w:szCs w:val="25"/>
        </w:rPr>
        <w:t> </w:t>
      </w:r>
      <w:hyperlink r:id="rId67" w:anchor="/document/12171690/entry/1058" w:history="1">
        <w:r w:rsidRPr="008547B8">
          <w:rPr>
            <w:rStyle w:val="a3"/>
            <w:color w:val="734C9B"/>
            <w:sz w:val="25"/>
            <w:szCs w:val="25"/>
          </w:rPr>
          <w:t>отчете</w:t>
        </w:r>
      </w:hyperlink>
      <w:r w:rsidRPr="008547B8">
        <w:rPr>
          <w:rStyle w:val="apple-converted-space"/>
          <w:color w:val="22272F"/>
          <w:sz w:val="25"/>
          <w:szCs w:val="25"/>
        </w:rPr>
        <w:t> </w:t>
      </w:r>
      <w:r w:rsidRPr="008547B8">
        <w:rPr>
          <w:color w:val="22272F"/>
          <w:sz w:val="25"/>
          <w:szCs w:val="25"/>
          <w:highlight w:val="yellow"/>
        </w:rPr>
        <w:t>о финансовых результатах.</w:t>
      </w:r>
    </w:p>
    <w:p w:rsidR="008547B8" w:rsidRDefault="008547B8" w:rsidP="005A417F"/>
    <w:sectPr w:rsidR="008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61B2"/>
    <w:rsid w:val="000170F4"/>
    <w:rsid w:val="003857E7"/>
    <w:rsid w:val="003D61B2"/>
    <w:rsid w:val="005227A1"/>
    <w:rsid w:val="005A417F"/>
    <w:rsid w:val="00713ECF"/>
    <w:rsid w:val="00723F44"/>
    <w:rsid w:val="008547B8"/>
    <w:rsid w:val="00874829"/>
    <w:rsid w:val="00A61AF5"/>
    <w:rsid w:val="00D84B36"/>
    <w:rsid w:val="00DB1719"/>
    <w:rsid w:val="00E1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D61B2"/>
  </w:style>
  <w:style w:type="character" w:customStyle="1" w:styleId="hl">
    <w:name w:val="hl"/>
    <w:basedOn w:val="a0"/>
    <w:rsid w:val="003D61B2"/>
  </w:style>
  <w:style w:type="character" w:customStyle="1" w:styleId="apple-converted-space">
    <w:name w:val="apple-converted-space"/>
    <w:basedOn w:val="a0"/>
    <w:rsid w:val="003D61B2"/>
  </w:style>
  <w:style w:type="character" w:styleId="a3">
    <w:name w:val="Hyperlink"/>
    <w:basedOn w:val="a0"/>
    <w:uiPriority w:val="99"/>
    <w:semiHidden/>
    <w:unhideWhenUsed/>
    <w:rsid w:val="003D61B2"/>
    <w:rPr>
      <w:color w:val="0000FF"/>
      <w:u w:val="single"/>
    </w:rPr>
  </w:style>
  <w:style w:type="paragraph" w:customStyle="1" w:styleId="s1">
    <w:name w:val="s_1"/>
    <w:basedOn w:val="a"/>
    <w:rsid w:val="003D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A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2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125925">
          <w:marLeft w:val="0"/>
          <w:marRight w:val="0"/>
          <w:marTop w:val="0"/>
          <w:marBottom w:val="1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05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496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8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5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155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cgi/online.cgi?req=doc&amp;base=LAW&amp;n=200109&amp;rnd=235642.1553329706&amp;dst=419&amp;fld=134" TargetMode="External"/><Relationship Id="rId18" Type="http://schemas.openxmlformats.org/officeDocument/2006/relationships/hyperlink" Target="http://www.consultant.ru/document/cons_doc_LAW_191311/3d0cac60971a511280cbba229d9b6329c07731f7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base.garant.ru/12171690/" TargetMode="External"/><Relationship Id="rId21" Type="http://schemas.openxmlformats.org/officeDocument/2006/relationships/hyperlink" Target="http://www.consultant.ru/document/cons_doc_LAW_139502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base.garant.ru/70540874/" TargetMode="External"/><Relationship Id="rId47" Type="http://schemas.openxmlformats.org/officeDocument/2006/relationships/hyperlink" Target="http://base.garant.ru/70970836/" TargetMode="External"/><Relationship Id="rId50" Type="http://schemas.openxmlformats.org/officeDocument/2006/relationships/hyperlink" Target="http://base.garant.ru/12171690/" TargetMode="External"/><Relationship Id="rId55" Type="http://schemas.openxmlformats.org/officeDocument/2006/relationships/hyperlink" Target="http://base.garant.ru/179139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../cgi/online.cgi?req=doc&amp;base=LAW&amp;n=171541&amp;rnd=235642.172321634&amp;dst=10000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5710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88809&amp;rnd=235642.1637716810" TargetMode="External"/><Relationship Id="rId11" Type="http://schemas.openxmlformats.org/officeDocument/2006/relationships/hyperlink" Target="../cgi/online.cgi?req=query&amp;div=LAW&amp;opt=1&amp;REFDOC=200109&amp;REFBASE=LAW&amp;REFFIELD=134&amp;REFSEGM=107&amp;REFPAGE=0&amp;REFTYPE=QP_MULTI_REF&amp;ts=31042147981696522101&amp;REFDST=453" TargetMode="External"/><Relationship Id="rId24" Type="http://schemas.openxmlformats.org/officeDocument/2006/relationships/hyperlink" Target="http://www.consultant.ru/document/cons_doc_LAW_181584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12171690/" TargetMode="External"/><Relationship Id="rId40" Type="http://schemas.openxmlformats.org/officeDocument/2006/relationships/hyperlink" Target="http://base.garant.ru/12171690/" TargetMode="External"/><Relationship Id="rId45" Type="http://schemas.openxmlformats.org/officeDocument/2006/relationships/hyperlink" Target="http://base.garant.ru/12171690/" TargetMode="External"/><Relationship Id="rId53" Type="http://schemas.openxmlformats.org/officeDocument/2006/relationships/hyperlink" Target="http://base.garant.ru/179139/" TargetMode="External"/><Relationship Id="rId58" Type="http://schemas.openxmlformats.org/officeDocument/2006/relationships/hyperlink" Target="http://base.garant.ru/70540874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../cgi/online.cgi?req=query&amp;div=LAW&amp;opt=1&amp;REFDOC=200109&amp;REFBASE=LAW&amp;REFFIELD=134&amp;REFSEGM=11&amp;REFPAGE=0&amp;REFTYPE=QP_MULTI_REF&amp;ts=28756147981677231874&amp;REFDST=414" TargetMode="External"/><Relationship Id="rId15" Type="http://schemas.openxmlformats.org/officeDocument/2006/relationships/hyperlink" Target="http://www.consultant.ru/document/cons_doc_LAW_155710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base.garant.ru/179139/" TargetMode="External"/><Relationship Id="rId57" Type="http://schemas.openxmlformats.org/officeDocument/2006/relationships/hyperlink" Target="http://base.garant.ru/179139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../cgi/online.cgi?req=doc&amp;base=LAW&amp;n=191401&amp;rnd=235642.1729720678&amp;dst=100168&amp;fld=134" TargetMode="External"/><Relationship Id="rId19" Type="http://schemas.openxmlformats.org/officeDocument/2006/relationships/hyperlink" Target="http://www.consultant.ru/document/cons_doc_LAW_191311/bdb2754392763f4c0afbdb3bc7ea77ef6a5287c4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base.garant.ru/70288318/" TargetMode="External"/><Relationship Id="rId52" Type="http://schemas.openxmlformats.org/officeDocument/2006/relationships/hyperlink" Target="http://base.garant.ru/12171690/" TargetMode="External"/><Relationship Id="rId60" Type="http://schemas.openxmlformats.org/officeDocument/2006/relationships/hyperlink" Target="http://base.garant.ru/12171690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hyperlink" Target="../cgi/online.cgi?req=doc&amp;base=LAW&amp;n=202317&amp;rnd=235642.469830094&amp;dst=100022&amp;fld=134" TargetMode="External"/><Relationship Id="rId9" Type="http://schemas.openxmlformats.org/officeDocument/2006/relationships/hyperlink" Target="../cgi/online.cgi?req=doc&amp;base=LAW&amp;n=200109&amp;rnd=235642.72889291&amp;dst=485&amp;fld=134" TargetMode="External"/><Relationship Id="rId14" Type="http://schemas.openxmlformats.org/officeDocument/2006/relationships/hyperlink" Target="../cgi/online.cgi?req=doc&amp;base=LAW&amp;n=197005&amp;rnd=235642.865917328" TargetMode="External"/><Relationship Id="rId22" Type="http://schemas.openxmlformats.org/officeDocument/2006/relationships/hyperlink" Target="http://www.consultant.ru/document/cons_doc_LAW_155251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base.garant.ru/70970836/" TargetMode="External"/><Relationship Id="rId48" Type="http://schemas.openxmlformats.org/officeDocument/2006/relationships/hyperlink" Target="http://base.garant.ru/12171690/" TargetMode="External"/><Relationship Id="rId56" Type="http://schemas.openxmlformats.org/officeDocument/2006/relationships/hyperlink" Target="http://base.garant.ru/12171690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theme" Target="theme/theme1.xml"/><Relationship Id="rId8" Type="http://schemas.openxmlformats.org/officeDocument/2006/relationships/hyperlink" Target="../cgi/online.cgi?req=doc&amp;base=LAW&amp;n=200604&amp;rnd=235642.254977763" TargetMode="External"/><Relationship Id="rId51" Type="http://schemas.openxmlformats.org/officeDocument/2006/relationships/hyperlink" Target="http://base.garant.ru/17913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cgi/online.cgi?req=doc&amp;base=LAW&amp;n=179547&amp;rnd=235642.428115946" TargetMode="External"/><Relationship Id="rId17" Type="http://schemas.openxmlformats.org/officeDocument/2006/relationships/hyperlink" Target="http://www.consultant.ru/document/cons_doc_LAW_5842/6df4134704d3a3545dbcd86febda61384e99f591/" TargetMode="External"/><Relationship Id="rId25" Type="http://schemas.openxmlformats.org/officeDocument/2006/relationships/hyperlink" Target="http://www.consultant.ru/document/cons_doc_LAW_155710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base.garant.ru/12171690/" TargetMode="External"/><Relationship Id="rId46" Type="http://schemas.openxmlformats.org/officeDocument/2006/relationships/hyperlink" Target="http://base.garant.ru/70288318/" TargetMode="External"/><Relationship Id="rId59" Type="http://schemas.openxmlformats.org/officeDocument/2006/relationships/hyperlink" Target="http://base.garant.ru/70447604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www.consultant.ru/document/cons_doc_LAW_206469/" TargetMode="External"/><Relationship Id="rId41" Type="http://schemas.openxmlformats.org/officeDocument/2006/relationships/hyperlink" Target="http://base.garant.ru/12171690/" TargetMode="External"/><Relationship Id="rId54" Type="http://schemas.openxmlformats.org/officeDocument/2006/relationships/hyperlink" Target="http://base.garant.ru/12171690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2016-11-22T11:56:00Z</dcterms:created>
  <dcterms:modified xsi:type="dcterms:W3CDTF">2016-11-22T17:04:00Z</dcterms:modified>
</cp:coreProperties>
</file>