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EE78" w14:textId="77777777" w:rsidR="00C10F6E" w:rsidRPr="00C10F6E" w:rsidRDefault="00C10F6E" w:rsidP="00C10F6E">
      <w:pPr>
        <w:widowControl w:val="0"/>
        <w:autoSpaceDE w:val="0"/>
        <w:autoSpaceDN w:val="0"/>
        <w:spacing w:after="0" w:line="240" w:lineRule="auto"/>
        <w:rPr>
          <w:rFonts w:ascii="Tahoma" w:eastAsia="Times New Roman" w:hAnsi="Tahoma" w:cs="Tahoma"/>
          <w:sz w:val="20"/>
          <w:szCs w:val="20"/>
          <w:lang w:eastAsia="ru-RU"/>
        </w:rPr>
      </w:pPr>
      <w:r w:rsidRPr="00C10F6E">
        <w:rPr>
          <w:rFonts w:ascii="Tahoma" w:eastAsia="Times New Roman" w:hAnsi="Tahoma" w:cs="Tahoma"/>
          <w:sz w:val="20"/>
          <w:szCs w:val="20"/>
          <w:lang w:eastAsia="ru-RU"/>
        </w:rPr>
        <w:t xml:space="preserve">Документ предоставлен </w:t>
      </w:r>
      <w:hyperlink r:id="rId4" w:history="1">
        <w:r w:rsidRPr="00C10F6E">
          <w:rPr>
            <w:rFonts w:ascii="Tahoma" w:eastAsia="Times New Roman" w:hAnsi="Tahoma" w:cs="Tahoma"/>
            <w:color w:val="0000FF"/>
            <w:sz w:val="20"/>
            <w:szCs w:val="20"/>
            <w:lang w:eastAsia="ru-RU"/>
          </w:rPr>
          <w:t>КонсультантПлюс</w:t>
        </w:r>
      </w:hyperlink>
      <w:r w:rsidRPr="00C10F6E">
        <w:rPr>
          <w:rFonts w:ascii="Tahoma" w:eastAsia="Times New Roman" w:hAnsi="Tahoma" w:cs="Tahoma"/>
          <w:sz w:val="20"/>
          <w:szCs w:val="20"/>
          <w:lang w:eastAsia="ru-RU"/>
        </w:rPr>
        <w:br/>
      </w:r>
    </w:p>
    <w:p w14:paraId="1C1A473D" w14:textId="77777777" w:rsidR="00C10F6E" w:rsidRPr="00C10F6E" w:rsidRDefault="00C10F6E" w:rsidP="00C10F6E">
      <w:pPr>
        <w:widowControl w:val="0"/>
        <w:autoSpaceDE w:val="0"/>
        <w:autoSpaceDN w:val="0"/>
        <w:spacing w:after="0" w:line="240" w:lineRule="auto"/>
        <w:jc w:val="both"/>
        <w:outlineLvl w:val="0"/>
        <w:rPr>
          <w:rFonts w:ascii="Calibri" w:eastAsia="Times New Roman" w:hAnsi="Calibri" w:cs="Calibri"/>
          <w:sz w:val="22"/>
          <w:szCs w:val="20"/>
          <w:lang w:eastAsia="ru-RU"/>
        </w:rPr>
      </w:pPr>
    </w:p>
    <w:p w14:paraId="372BBA3D"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МИНИСТЕРСТВО ФИНАНСОВ РОССИЙСКОЙ ФЕДЕРАЦИИ</w:t>
      </w:r>
    </w:p>
    <w:p w14:paraId="23949027"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p>
    <w:p w14:paraId="156AE16B"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ИНФОРМАЦИЯ</w:t>
      </w:r>
    </w:p>
    <w:p w14:paraId="405670A8"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N ПЗ-14/2020</w:t>
      </w:r>
    </w:p>
    <w:p w14:paraId="4F2CAC01"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p>
    <w:p w14:paraId="7FCF8D6F"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О ПРАКТИКЕ</w:t>
      </w:r>
    </w:p>
    <w:p w14:paraId="5871CAD1"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ФОРМИРОВАНИЯ В БУХГАЛТЕРСКОМ УЧЕТЕ ИНФОРМАЦИИ В УСЛОВИЯХ</w:t>
      </w:r>
    </w:p>
    <w:p w14:paraId="207E988F" w14:textId="77777777" w:rsidR="00C10F6E" w:rsidRPr="00C10F6E" w:rsidRDefault="00C10F6E" w:rsidP="00C10F6E">
      <w:pPr>
        <w:widowControl w:val="0"/>
        <w:autoSpaceDE w:val="0"/>
        <w:autoSpaceDN w:val="0"/>
        <w:spacing w:after="0" w:line="240" w:lineRule="auto"/>
        <w:jc w:val="center"/>
        <w:rPr>
          <w:rFonts w:ascii="Calibri" w:eastAsia="Times New Roman" w:hAnsi="Calibri" w:cs="Calibri"/>
          <w:b/>
          <w:sz w:val="22"/>
          <w:szCs w:val="20"/>
          <w:lang w:eastAsia="ru-RU"/>
        </w:rPr>
      </w:pPr>
      <w:r w:rsidRPr="00C10F6E">
        <w:rPr>
          <w:rFonts w:ascii="Calibri" w:eastAsia="Times New Roman" w:hAnsi="Calibri" w:cs="Calibri"/>
          <w:b/>
          <w:sz w:val="22"/>
          <w:szCs w:val="20"/>
          <w:lang w:eastAsia="ru-RU"/>
        </w:rPr>
        <w:t>РАСПРОСТРАНЕНИЯ НОВОЙ КОРОНАВИРУСНОЙ ИНФЕКЦИИ"</w:t>
      </w:r>
    </w:p>
    <w:p w14:paraId="33AF5741" w14:textId="77777777" w:rsidR="00C10F6E" w:rsidRPr="00C10F6E" w:rsidRDefault="00C10F6E" w:rsidP="00C10F6E">
      <w:pPr>
        <w:widowControl w:val="0"/>
        <w:autoSpaceDE w:val="0"/>
        <w:autoSpaceDN w:val="0"/>
        <w:spacing w:after="0" w:line="240" w:lineRule="auto"/>
        <w:jc w:val="both"/>
        <w:rPr>
          <w:rFonts w:ascii="Calibri" w:eastAsia="Times New Roman" w:hAnsi="Calibri" w:cs="Calibri"/>
          <w:sz w:val="22"/>
          <w:szCs w:val="20"/>
          <w:lang w:eastAsia="ru-RU"/>
        </w:rPr>
      </w:pPr>
    </w:p>
    <w:p w14:paraId="68B32005" w14:textId="77777777" w:rsidR="00C10F6E" w:rsidRPr="00C10F6E" w:rsidRDefault="00C10F6E" w:rsidP="00C10F6E">
      <w:pPr>
        <w:widowControl w:val="0"/>
        <w:autoSpaceDE w:val="0"/>
        <w:autoSpaceDN w:val="0"/>
        <w:spacing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обобщил отдельные вопросы бухгалтерского учета, связанные с деятельностью организаций в условиях распространения новой коронавирусной инфекции, и сообщает следующее.</w:t>
      </w:r>
    </w:p>
    <w:p w14:paraId="3AE03DA1"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1. Исходя из </w:t>
      </w:r>
      <w:hyperlink r:id="rId5" w:history="1">
        <w:r w:rsidRPr="00C10F6E">
          <w:rPr>
            <w:rFonts w:ascii="Calibri" w:eastAsia="Times New Roman" w:hAnsi="Calibri" w:cs="Calibri"/>
            <w:color w:val="0000FF"/>
            <w:sz w:val="22"/>
            <w:szCs w:val="20"/>
            <w:lang w:eastAsia="ru-RU"/>
          </w:rPr>
          <w:t>Положения</w:t>
        </w:r>
      </w:hyperlink>
      <w:r w:rsidRPr="00C10F6E">
        <w:rPr>
          <w:rFonts w:ascii="Calibri" w:eastAsia="Times New Roman" w:hAnsi="Calibri" w:cs="Calibri"/>
          <w:sz w:val="22"/>
          <w:szCs w:val="20"/>
          <w:lang w:eastAsia="ru-RU"/>
        </w:rPr>
        <w:t xml:space="preserve"> по бухгалтерскому учету ПБУ 10/99 "Расходы организации", утвержденного приказом Минфина России от 06.05.1999 N 33н, расходами по обычным видам деятельности являются расходы, связанные с изготовлением и продажей продукции, приобретением и продажей товаров, выполнением работ, оказанием услуг. При этом согласно Трудовому </w:t>
      </w:r>
      <w:hyperlink r:id="rId6" w:history="1">
        <w:r w:rsidRPr="00C10F6E">
          <w:rPr>
            <w:rFonts w:ascii="Calibri" w:eastAsia="Times New Roman" w:hAnsi="Calibri" w:cs="Calibri"/>
            <w:color w:val="0000FF"/>
            <w:sz w:val="22"/>
            <w:szCs w:val="20"/>
            <w:lang w:eastAsia="ru-RU"/>
          </w:rPr>
          <w:t>кодексу</w:t>
        </w:r>
      </w:hyperlink>
      <w:r w:rsidRPr="00C10F6E">
        <w:rPr>
          <w:rFonts w:ascii="Calibri" w:eastAsia="Times New Roman" w:hAnsi="Calibri" w:cs="Calibri"/>
          <w:sz w:val="22"/>
          <w:szCs w:val="20"/>
          <w:lang w:eastAsia="ru-RU"/>
        </w:rPr>
        <w:t xml:space="preserve"> Российской Федерации обязанностью работодателя является, среди прочего, обеспечение безопасности и нормальных условий труда, соответствующих государственным нормативным требованиям охраны труда, а также бытовых нужд работников, связанных с исполнением ими трудовых обязанностей.</w:t>
      </w:r>
    </w:p>
    <w:p w14:paraId="47A90CD9"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С учетом этого в качестве расходов по обычным видам деятельности организации подлежат учету, в частности, следующие расходы на обеспечение защитных мер в связи с распространением новой коронавирусной инфекции:</w:t>
      </w:r>
    </w:p>
    <w:p w14:paraId="3B5EC5FC"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на оплату услуг по проведению тестирования работников на наличие коронавирусной инфекции и иммунитет к ней;</w:t>
      </w:r>
    </w:p>
    <w:p w14:paraId="3DDE36A1"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на оплату услуг по дезинфекции рабочих помещений;</w:t>
      </w:r>
    </w:p>
    <w:p w14:paraId="10E28F6A"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на оплату услуг по обеспечению связи с работниками, осуществляющими работу удаленно;</w:t>
      </w:r>
    </w:p>
    <w:p w14:paraId="5EA48F93"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на оплату услуг по доставке работников, осуществляющих работу на своих рабочих местах, до места работы и обратно в период действия режима повышенной готовности в связи с распространением новой коронавирусной инфекции.</w:t>
      </w:r>
    </w:p>
    <w:p w14:paraId="6A24F1D6"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В случае, когда организация осуществляет защитные меры в связи с распространением новой коронавирусной инфекции полностью или частично собственными силами (без привлечения сторонних лиц), указанные расходы также включаются в состав расходов по обычным видам деятельности.</w:t>
      </w:r>
    </w:p>
    <w:p w14:paraId="265E8D1D"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2. В соответствии с </w:t>
      </w:r>
      <w:hyperlink r:id="rId7" w:history="1">
        <w:r w:rsidRPr="00C10F6E">
          <w:rPr>
            <w:rFonts w:ascii="Calibri" w:eastAsia="Times New Roman" w:hAnsi="Calibri" w:cs="Calibri"/>
            <w:color w:val="0000FF"/>
            <w:sz w:val="22"/>
            <w:szCs w:val="20"/>
            <w:lang w:eastAsia="ru-RU"/>
          </w:rPr>
          <w:t>ПБУ 10/99</w:t>
        </w:r>
      </w:hyperlink>
      <w:r w:rsidRPr="00C10F6E">
        <w:rPr>
          <w:rFonts w:ascii="Calibri" w:eastAsia="Times New Roman" w:hAnsi="Calibri" w:cs="Calibri"/>
          <w:sz w:val="22"/>
          <w:szCs w:val="20"/>
          <w:lang w:eastAsia="ru-RU"/>
        </w:rPr>
        <w:t xml:space="preserve"> расходы, отличные от расходов по обычным видам деятельности, считаются прочими расходами. В частности, в составе прочих расходов организации подлежат учету следующие расходы, произведенные в связи с распространением новой коронавирусной инфекции:</w:t>
      </w:r>
    </w:p>
    <w:p w14:paraId="14585A5E"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заработная плата работникам за время нерабочих дней, установленных в целях обеспечения санитарно-эпидемиологического благополучия населения на территории Российской Федерации, и соответствующие отчисления на социальные нужды;</w:t>
      </w:r>
    </w:p>
    <w:p w14:paraId="1C8F90E8"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оплата вынужденного простоя из-за приостановления деятельности организации в связи с </w:t>
      </w:r>
      <w:r w:rsidRPr="00C10F6E">
        <w:rPr>
          <w:rFonts w:ascii="Calibri" w:eastAsia="Times New Roman" w:hAnsi="Calibri" w:cs="Calibri"/>
          <w:sz w:val="22"/>
          <w:szCs w:val="20"/>
          <w:lang w:eastAsia="ru-RU"/>
        </w:rPr>
        <w:lastRenderedPageBreak/>
        <w:t>коронавирусной инфекцией;</w:t>
      </w:r>
    </w:p>
    <w:p w14:paraId="4AB6D611"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штрафы и выплаты по искам за нарушение законодательства Российской Федерации в области обеспечения санитарно-эпидемиологического благополучия населения,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w:t>
      </w:r>
    </w:p>
    <w:p w14:paraId="633F3672"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расходы по несостоявшимся служебным командировкам работников организации (невозмещенная оплата проезда к месту командировки и обратно, бронирования гостиницы, услуг, др.);</w:t>
      </w:r>
    </w:p>
    <w:p w14:paraId="0B189F50"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расходы, связанные с осуществлением мероприятий благотворительного характера, направленных на предотвращение распространения новой коронавирусной инфекцией (перечисление денежных средств лицам, пострадавшим в связи с распространением новой коронавирусной инфекции; приобретение для медицинских учреждений специализированного оборудования и иного имущества для выявления и лечения новой коронавирусной инфекции; обеспечение бесплатным питанием граждан старше 65 лет, др.).</w:t>
      </w:r>
    </w:p>
    <w:p w14:paraId="4AA4891E"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Для обобщения информации о прочих расходах, связанных с распространением новой коронавирусной инфекции, используется счет 91 "Прочие доходы и расходы".</w:t>
      </w:r>
    </w:p>
    <w:p w14:paraId="252D2190"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3. Формирование в бухгалтерском учете информации о материально-производственных запасах организации, приобретаемых в связи с распространением новой коронавирусной инфекцией, осуществляется в соответствии с </w:t>
      </w:r>
      <w:hyperlink r:id="rId8"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5/01 "Учет материально-производственных запасов", утвержденным приказом Минфина России от 09.06.2001 N 44н. В частности, такими материально-производственными запасами могут быть средства индивидуальной защиты (маски, перчатки, защитные очки, защитные экраны, др.), санитарно-гигиенический инвентарь и приспособления (дозаторы для жидкого мыла, </w:t>
      </w:r>
      <w:proofErr w:type="spellStart"/>
      <w:r w:rsidRPr="00C10F6E">
        <w:rPr>
          <w:rFonts w:ascii="Calibri" w:eastAsia="Times New Roman" w:hAnsi="Calibri" w:cs="Calibri"/>
          <w:sz w:val="22"/>
          <w:szCs w:val="20"/>
          <w:lang w:eastAsia="ru-RU"/>
        </w:rPr>
        <w:t>санитайзеры</w:t>
      </w:r>
      <w:proofErr w:type="spellEnd"/>
      <w:r w:rsidRPr="00C10F6E">
        <w:rPr>
          <w:rFonts w:ascii="Calibri" w:eastAsia="Times New Roman" w:hAnsi="Calibri" w:cs="Calibri"/>
          <w:sz w:val="22"/>
          <w:szCs w:val="20"/>
          <w:lang w:eastAsia="ru-RU"/>
        </w:rPr>
        <w:t>, бактерицидные лампы, др.), медицинские изделия для диагностики и лечения (аптечки, тесты, др.), дезинфицирующие средства (если такие объекты не подлежат бухгалтерскому учету в качестве основных средств).</w:t>
      </w:r>
    </w:p>
    <w:p w14:paraId="4F6D46BC"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4. Формирование в бухгалтерском учете информации об основных средствах организации, приобретаемых в связи с распространением новой коронавирусной инфекции, осуществляется в соответствии с </w:t>
      </w:r>
      <w:hyperlink r:id="rId9"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6/01 "Учет основных средств", утвержденным приказом Минфина России от 30.03.2001 N 26н. В частности, такими объектами основных средств может быть медицинское и санитарно-гигиеническое оборудование, приборы, приспособления.</w:t>
      </w:r>
    </w:p>
    <w:p w14:paraId="2E3F87B2"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5. Формирование в бухгалтерском учете информации о нематериальных активах организации, приобретаемых в связи с распространением новой коронавирусной инфекции, осуществляется в соответствии с </w:t>
      </w:r>
      <w:hyperlink r:id="rId10"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14/2007 "Учет нематериальных активов", утвержденным приказом Минфина России от 27.12.2007 N 153н. В частности, такими объектами нематериальных активов могут быть права на программные средства, приобретение (создание) которых связано с условиями работы в сложной эпидемиологической ситуации (если такие объекты подлежат бухгалтерскому учету в качестве нематериальных активов).</w:t>
      </w:r>
    </w:p>
    <w:p w14:paraId="564572A2"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 Формирование в бухгалтерском учете информации о государственной помощи, связанной с осуществлением ее получателем деятельности в отраслях экономики, наиболее пострадавших в условиях ухудшения ситуации в результате распространения новой коронавирусной инфекции, в том числе в форме субсидий (далее - бюджетные средства), бюджетных кредитов и иных формах, осуществляется коммерческими организациями в соответствии с </w:t>
      </w:r>
      <w:hyperlink r:id="rId11"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13/2000 "Учет государственной помощи", утвержденным приказом Минфина России от 16.10.2000 N 92н. При этом информация о видах указанной государственной помощи раскрывается в бухгалтерской (финансовой) отчетности на основе соответствующим образом организованного </w:t>
      </w:r>
      <w:r w:rsidRPr="00C10F6E">
        <w:rPr>
          <w:rFonts w:ascii="Calibri" w:eastAsia="Times New Roman" w:hAnsi="Calibri" w:cs="Calibri"/>
          <w:sz w:val="22"/>
          <w:szCs w:val="20"/>
          <w:lang w:eastAsia="ru-RU"/>
        </w:rPr>
        <w:lastRenderedPageBreak/>
        <w:t>аналитического учета.</w:t>
      </w:r>
    </w:p>
    <w:p w14:paraId="414B88D1"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6.1. В соответствии с </w:t>
      </w:r>
      <w:hyperlink r:id="rId12" w:history="1">
        <w:r w:rsidRPr="00C10F6E">
          <w:rPr>
            <w:rFonts w:ascii="Calibri" w:eastAsia="Times New Roman" w:hAnsi="Calibri" w:cs="Calibri"/>
            <w:color w:val="0000FF"/>
            <w:sz w:val="22"/>
            <w:szCs w:val="20"/>
            <w:lang w:eastAsia="ru-RU"/>
          </w:rPr>
          <w:t>ПБУ 13/2000</w:t>
        </w:r>
      </w:hyperlink>
      <w:r w:rsidRPr="00C10F6E">
        <w:rPr>
          <w:rFonts w:ascii="Calibri" w:eastAsia="Times New Roman" w:hAnsi="Calibri" w:cs="Calibri"/>
          <w:sz w:val="22"/>
          <w:szCs w:val="20"/>
          <w:lang w:eastAsia="ru-RU"/>
        </w:rPr>
        <w:t xml:space="preserve"> организация принимает бюджетные средства к бухгалтерскому учету по мере фактического получения средств либо при наличии следующих условий:</w:t>
      </w:r>
    </w:p>
    <w:p w14:paraId="09CC9D36"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имеется уверенность, что условия предоставления этих средств организацией будут выполнены;</w:t>
      </w:r>
    </w:p>
    <w:p w14:paraId="09B7C795"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имеется уверенность, что указанные средства будут получены.</w:t>
      </w:r>
    </w:p>
    <w:p w14:paraId="6A7063FC"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Бюджетные средства, принятые к бухгалтерскому учету в соответствии с указанными условиями, отражаются в бухгалтерском учете как возникновение целевого финансирования текущих расходов и капитальных затрат.</w:t>
      </w:r>
    </w:p>
    <w:p w14:paraId="74B8B7F9"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6.2. В соответствии с </w:t>
      </w:r>
      <w:hyperlink r:id="rId13" w:history="1">
        <w:r w:rsidRPr="00C10F6E">
          <w:rPr>
            <w:rFonts w:ascii="Calibri" w:eastAsia="Times New Roman" w:hAnsi="Calibri" w:cs="Calibri"/>
            <w:color w:val="0000FF"/>
            <w:sz w:val="22"/>
            <w:szCs w:val="20"/>
            <w:lang w:eastAsia="ru-RU"/>
          </w:rPr>
          <w:t>ПБУ 13/2000</w:t>
        </w:r>
      </w:hyperlink>
      <w:r w:rsidRPr="00C10F6E">
        <w:rPr>
          <w:rFonts w:ascii="Calibri" w:eastAsia="Times New Roman" w:hAnsi="Calibri" w:cs="Calibri"/>
          <w:sz w:val="22"/>
          <w:szCs w:val="20"/>
          <w:lang w:eastAsia="ru-RU"/>
        </w:rPr>
        <w:t xml:space="preserve"> списание бюджетных средств на финансирование текущих расходов производится в периоды признания расходов, на финансирование которых они предоставлены. Бюджетные средства, предоставленные в установленном порядке на финансирование расходов, понесенных организацией в предыдущие отчетные периоды, относятся на увеличение финансового результата организации. Если на момент получения бюджетных средств часть расходов, на финансирование которых эти средства предоставлены, еще не осуществлена, то неиспользованная сумма бюджетных средств учитывается на счете 86 "Целевое финансирование" до осуществления соответствующих расходов.</w:t>
      </w:r>
    </w:p>
    <w:p w14:paraId="6D76CE34"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6.3. В соответствии с </w:t>
      </w:r>
      <w:hyperlink r:id="rId14" w:history="1">
        <w:r w:rsidRPr="00C10F6E">
          <w:rPr>
            <w:rFonts w:ascii="Calibri" w:eastAsia="Times New Roman" w:hAnsi="Calibri" w:cs="Calibri"/>
            <w:color w:val="0000FF"/>
            <w:sz w:val="22"/>
            <w:szCs w:val="20"/>
            <w:lang w:eastAsia="ru-RU"/>
          </w:rPr>
          <w:t>ПБУ 13/2000</w:t>
        </w:r>
      </w:hyperlink>
      <w:r w:rsidRPr="00C10F6E">
        <w:rPr>
          <w:rFonts w:ascii="Calibri" w:eastAsia="Times New Roman" w:hAnsi="Calibri" w:cs="Calibri"/>
          <w:sz w:val="22"/>
          <w:szCs w:val="20"/>
          <w:lang w:eastAsia="ru-RU"/>
        </w:rPr>
        <w:t xml:space="preserve"> списание бюджетных средств на финансирование капитальных затрат производится по мере начисления амортизации на протяжении срока полезного использования внеоборотных активов, подлежащих амортизации, или в течение периода признания расходов, связанных с выполнением условий предоставления бюджетных средств на приобретение внеоборотных активов, не подлежащих амортизации. При этом целевое финансирование учитывается при вводе объектов внеоборотных активов в эксплуатацию в качестве доходов будущих периодов с последующим отнесением в течение срока полезного использования объектов внеоборотных активов по мере начисления амортизации на финансовые результаты организации.</w:t>
      </w:r>
    </w:p>
    <w:p w14:paraId="01D19FC0"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6.4. Бюджетные кредиты, предоставленные организации, отражаются в бухгалтерском учете в общем порядке, принятом для учета заемных средств. Если при предоставлении бюджетных кредитов на возвратной основе предусматривается, что при выполнении определенных условий организация освобождается от возврата полученных ресурсов, и существует достаточная уверенность в том, что организация выполнит эти условия, то такие средства учитываются в порядке, установленном </w:t>
      </w:r>
      <w:hyperlink r:id="rId15" w:history="1">
        <w:r w:rsidRPr="00C10F6E">
          <w:rPr>
            <w:rFonts w:ascii="Calibri" w:eastAsia="Times New Roman" w:hAnsi="Calibri" w:cs="Calibri"/>
            <w:color w:val="0000FF"/>
            <w:sz w:val="22"/>
            <w:szCs w:val="20"/>
            <w:lang w:eastAsia="ru-RU"/>
          </w:rPr>
          <w:t>ПБУ 13/2000</w:t>
        </w:r>
      </w:hyperlink>
      <w:r w:rsidRPr="00C10F6E">
        <w:rPr>
          <w:rFonts w:ascii="Calibri" w:eastAsia="Times New Roman" w:hAnsi="Calibri" w:cs="Calibri"/>
          <w:sz w:val="22"/>
          <w:szCs w:val="20"/>
          <w:lang w:eastAsia="ru-RU"/>
        </w:rPr>
        <w:t xml:space="preserve"> для учета бюджетных средств.</w:t>
      </w:r>
    </w:p>
    <w:p w14:paraId="61EA29CB"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6.5. </w:t>
      </w:r>
      <w:hyperlink r:id="rId16" w:history="1">
        <w:r w:rsidRPr="00C10F6E">
          <w:rPr>
            <w:rFonts w:ascii="Calibri" w:eastAsia="Times New Roman" w:hAnsi="Calibri" w:cs="Calibri"/>
            <w:color w:val="0000FF"/>
            <w:sz w:val="22"/>
            <w:szCs w:val="20"/>
            <w:lang w:eastAsia="ru-RU"/>
          </w:rPr>
          <w:t>ПБУ 13/2000</w:t>
        </w:r>
      </w:hyperlink>
      <w:r w:rsidRPr="00C10F6E">
        <w:rPr>
          <w:rFonts w:ascii="Calibri" w:eastAsia="Times New Roman" w:hAnsi="Calibri" w:cs="Calibri"/>
          <w:sz w:val="22"/>
          <w:szCs w:val="20"/>
          <w:lang w:eastAsia="ru-RU"/>
        </w:rPr>
        <w:t xml:space="preserve"> не применяется в связи с возмещением недополученных доходов и (или) финансовым обеспечением (возмещением) затрат в связи с производством (реализацией) товаров, выполнением работ, оказанием услуг на договорной основе. При формировании в бухгалтерском учете информации о таких доходах следует руководствоваться правилами, установленными </w:t>
      </w:r>
      <w:hyperlink r:id="rId17"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9/99 "Доходы организации", утвержденным приказом Минфина России от 06.05.1999 N 32н.</w:t>
      </w:r>
    </w:p>
    <w:p w14:paraId="6F522E8E"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6.6. Некоммерческим организациям при формировании в бухгалтерском учете информации о государственной помощи следует руководствоваться </w:t>
      </w:r>
      <w:hyperlink r:id="rId18" w:history="1">
        <w:r w:rsidRPr="00C10F6E">
          <w:rPr>
            <w:rFonts w:ascii="Calibri" w:eastAsia="Times New Roman" w:hAnsi="Calibri" w:cs="Calibri"/>
            <w:color w:val="0000FF"/>
            <w:sz w:val="22"/>
            <w:szCs w:val="20"/>
            <w:lang w:eastAsia="ru-RU"/>
          </w:rPr>
          <w:t>Инструкцией</w:t>
        </w:r>
      </w:hyperlink>
      <w:r w:rsidRPr="00C10F6E">
        <w:rPr>
          <w:rFonts w:ascii="Calibri" w:eastAsia="Times New Roman" w:hAnsi="Calibri" w:cs="Calibri"/>
          <w:sz w:val="22"/>
          <w:szCs w:val="20"/>
          <w:lang w:eastAsia="ru-RU"/>
        </w:rPr>
        <w:t xml:space="preserve"> по применению Плана счетов бухгалтерского учета финансово-хозяйственной деятельности организаций, утвержденной приказом Минфина России от 31.10.2000 N 94н (в частности, описанием </w:t>
      </w:r>
      <w:hyperlink r:id="rId19" w:history="1">
        <w:r w:rsidRPr="00C10F6E">
          <w:rPr>
            <w:rFonts w:ascii="Calibri" w:eastAsia="Times New Roman" w:hAnsi="Calibri" w:cs="Calibri"/>
            <w:color w:val="0000FF"/>
            <w:sz w:val="22"/>
            <w:szCs w:val="20"/>
            <w:lang w:eastAsia="ru-RU"/>
          </w:rPr>
          <w:t>счета 86</w:t>
        </w:r>
      </w:hyperlink>
      <w:r w:rsidRPr="00C10F6E">
        <w:rPr>
          <w:rFonts w:ascii="Calibri" w:eastAsia="Times New Roman" w:hAnsi="Calibri" w:cs="Calibri"/>
          <w:sz w:val="22"/>
          <w:szCs w:val="20"/>
          <w:lang w:eastAsia="ru-RU"/>
        </w:rPr>
        <w:t xml:space="preserve"> "Целевое финансирование").</w:t>
      </w:r>
    </w:p>
    <w:p w14:paraId="3ED0FE50"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6.7. Информация о государственной помощи, полученной коммерческой организацией, раскрывается в пояснениях к бухгалтерскому балансу и отчету о финансовых результатах. </w:t>
      </w:r>
      <w:r w:rsidRPr="00C10F6E">
        <w:rPr>
          <w:rFonts w:ascii="Calibri" w:eastAsia="Times New Roman" w:hAnsi="Calibri" w:cs="Calibri"/>
          <w:sz w:val="22"/>
          <w:szCs w:val="20"/>
          <w:lang w:eastAsia="ru-RU"/>
        </w:rPr>
        <w:lastRenderedPageBreak/>
        <w:t>Информация о государственной помощи некоммерческой организации раскрывается в отчете о целевом использовании средств.</w:t>
      </w:r>
    </w:p>
    <w:p w14:paraId="72B91F4C"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7. В соответствии с Федеральным </w:t>
      </w:r>
      <w:hyperlink r:id="rId20" w:history="1">
        <w:r w:rsidRPr="00C10F6E">
          <w:rPr>
            <w:rFonts w:ascii="Calibri" w:eastAsia="Times New Roman" w:hAnsi="Calibri" w:cs="Calibri"/>
            <w:color w:val="0000FF"/>
            <w:sz w:val="22"/>
            <w:szCs w:val="20"/>
            <w:lang w:eastAsia="ru-RU"/>
          </w:rPr>
          <w:t>законом</w:t>
        </w:r>
      </w:hyperlink>
      <w:r w:rsidRPr="00C10F6E">
        <w:rPr>
          <w:rFonts w:ascii="Calibri" w:eastAsia="Times New Roman" w:hAnsi="Calibri" w:cs="Calibri"/>
          <w:sz w:val="22"/>
          <w:szCs w:val="20"/>
          <w:lang w:eastAsia="ru-RU"/>
        </w:rPr>
        <w:t xml:space="preserve"> от 08.06.2020 N 172-ФЗ "О внесении изменений в часть вторую Налогового кодекса Российской Федерации" организации,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освобождены от исполнения обязанности уплатить за II квартал 2020 г. налоги, авансовые платежи по налогам (кроме НДС). Кроме того, указанные организации исчисляют страховые взносы на обязательное пенсионное, медицинское и социальное страхование на случай временной нетрудоспособности и в связи с материнством по ставке 0% по выплатам физическим лицам, начисленным за апрель, май, июнь 2020 г.</w:t>
      </w:r>
    </w:p>
    <w:p w14:paraId="42F29774" w14:textId="77777777" w:rsidR="00C10F6E" w:rsidRPr="00C10F6E" w:rsidRDefault="00C10F6E" w:rsidP="00C10F6E">
      <w:pPr>
        <w:widowControl w:val="0"/>
        <w:autoSpaceDE w:val="0"/>
        <w:autoSpaceDN w:val="0"/>
        <w:spacing w:before="220" w:after="0" w:line="240" w:lineRule="auto"/>
        <w:ind w:firstLine="540"/>
        <w:jc w:val="both"/>
        <w:rPr>
          <w:rFonts w:ascii="Calibri" w:eastAsia="Times New Roman" w:hAnsi="Calibri" w:cs="Calibri"/>
          <w:sz w:val="22"/>
          <w:szCs w:val="20"/>
          <w:lang w:eastAsia="ru-RU"/>
        </w:rPr>
      </w:pPr>
      <w:r w:rsidRPr="00C10F6E">
        <w:rPr>
          <w:rFonts w:ascii="Calibri" w:eastAsia="Times New Roman" w:hAnsi="Calibri" w:cs="Calibri"/>
          <w:sz w:val="22"/>
          <w:szCs w:val="20"/>
          <w:lang w:eastAsia="ru-RU"/>
        </w:rPr>
        <w:t xml:space="preserve">Сумма, на которую организация освобождена от обязанности уплатить налог на прибыль за II квартал 2020 г., относится в уменьшение величины расхода по налогу на прибыль, признаваемого в соответствии с </w:t>
      </w:r>
      <w:hyperlink r:id="rId21" w:history="1">
        <w:r w:rsidRPr="00C10F6E">
          <w:rPr>
            <w:rFonts w:ascii="Calibri" w:eastAsia="Times New Roman" w:hAnsi="Calibri" w:cs="Calibri"/>
            <w:color w:val="0000FF"/>
            <w:sz w:val="22"/>
            <w:szCs w:val="20"/>
            <w:lang w:eastAsia="ru-RU"/>
          </w:rPr>
          <w:t>Положением</w:t>
        </w:r>
      </w:hyperlink>
      <w:r w:rsidRPr="00C10F6E">
        <w:rPr>
          <w:rFonts w:ascii="Calibri" w:eastAsia="Times New Roman" w:hAnsi="Calibri" w:cs="Calibri"/>
          <w:sz w:val="22"/>
          <w:szCs w:val="20"/>
          <w:lang w:eastAsia="ru-RU"/>
        </w:rPr>
        <w:t xml:space="preserve"> по бухгалтерскому учету ПБУ 18/02 "Учет расчетов по налогу на прибыль организаций", утвержденным приказом Минфина России от 19 ноября 2002 г. N 114н. Аналогичные суммы по другим налогам и страховым взносам относятся в уменьшение соответствующих расходов, признаваемых в соответствии с </w:t>
      </w:r>
      <w:hyperlink r:id="rId22" w:history="1">
        <w:r w:rsidRPr="00C10F6E">
          <w:rPr>
            <w:rFonts w:ascii="Calibri" w:eastAsia="Times New Roman" w:hAnsi="Calibri" w:cs="Calibri"/>
            <w:color w:val="0000FF"/>
            <w:sz w:val="22"/>
            <w:szCs w:val="20"/>
            <w:lang w:eastAsia="ru-RU"/>
          </w:rPr>
          <w:t>ПБУ 10/99</w:t>
        </w:r>
      </w:hyperlink>
      <w:r w:rsidRPr="00C10F6E">
        <w:rPr>
          <w:rFonts w:ascii="Calibri" w:eastAsia="Times New Roman" w:hAnsi="Calibri" w:cs="Calibri"/>
          <w:sz w:val="22"/>
          <w:szCs w:val="20"/>
          <w:lang w:eastAsia="ru-RU"/>
        </w:rPr>
        <w:t>.</w:t>
      </w:r>
    </w:p>
    <w:p w14:paraId="6FA905E5" w14:textId="77777777" w:rsidR="00C10F6E" w:rsidRPr="00C10F6E" w:rsidRDefault="00C10F6E" w:rsidP="00C10F6E">
      <w:pPr>
        <w:widowControl w:val="0"/>
        <w:autoSpaceDE w:val="0"/>
        <w:autoSpaceDN w:val="0"/>
        <w:spacing w:after="0" w:line="240" w:lineRule="auto"/>
        <w:jc w:val="both"/>
        <w:rPr>
          <w:rFonts w:ascii="Calibri" w:eastAsia="Times New Roman" w:hAnsi="Calibri" w:cs="Calibri"/>
          <w:sz w:val="22"/>
          <w:szCs w:val="20"/>
          <w:lang w:eastAsia="ru-RU"/>
        </w:rPr>
      </w:pPr>
    </w:p>
    <w:p w14:paraId="42540A58" w14:textId="77777777" w:rsidR="00C10F6E" w:rsidRPr="00C10F6E" w:rsidRDefault="00C10F6E" w:rsidP="00C10F6E">
      <w:pPr>
        <w:widowControl w:val="0"/>
        <w:autoSpaceDE w:val="0"/>
        <w:autoSpaceDN w:val="0"/>
        <w:spacing w:after="0" w:line="240" w:lineRule="auto"/>
        <w:jc w:val="both"/>
        <w:rPr>
          <w:rFonts w:ascii="Calibri" w:eastAsia="Times New Roman" w:hAnsi="Calibri" w:cs="Calibri"/>
          <w:sz w:val="22"/>
          <w:szCs w:val="20"/>
          <w:lang w:eastAsia="ru-RU"/>
        </w:rPr>
      </w:pPr>
    </w:p>
    <w:p w14:paraId="2D1D9807" w14:textId="77777777" w:rsidR="00C10F6E" w:rsidRPr="00C10F6E" w:rsidRDefault="00C10F6E" w:rsidP="00C10F6E">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635E1803" w14:textId="77777777" w:rsidR="00C10F6E" w:rsidRPr="00C10F6E" w:rsidRDefault="00C10F6E" w:rsidP="00C10F6E">
      <w:pPr>
        <w:rPr>
          <w:rFonts w:asciiTheme="minorHAnsi" w:eastAsia="Times New Roman" w:hAnsiTheme="minorHAnsi"/>
          <w:sz w:val="22"/>
          <w:szCs w:val="22"/>
        </w:rPr>
      </w:pPr>
    </w:p>
    <w:p w14:paraId="26B733D2" w14:textId="77777777" w:rsidR="00143000" w:rsidRDefault="00143000"/>
    <w:sectPr w:rsidR="00143000" w:rsidSect="00311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E"/>
    <w:rsid w:val="00143000"/>
    <w:rsid w:val="00C1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4DF1"/>
  <w15:chartTrackingRefBased/>
  <w15:docId w15:val="{995F4706-50CF-451B-9E22-9CD14553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6E"/>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C10F6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C10F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540D53ABE21C72DE75B537137E7CA644395E68CE709E07F1D0451B948441C3DA0CBC090627843F71A09753C2A0C032466E4B1D8F03AB97FdFM" TargetMode="External"/><Relationship Id="rId13" Type="http://schemas.openxmlformats.org/officeDocument/2006/relationships/hyperlink" Target="consultantplus://offline/ref=FEB540D53ABE21C72DE75B537137E7CA664B9BE185E609E07F1D0451B948441C3DA0CBC090627843F21A09753C2A0C032466E4B1D8F03AB97FdFM" TargetMode="External"/><Relationship Id="rId18" Type="http://schemas.openxmlformats.org/officeDocument/2006/relationships/hyperlink" Target="consultantplus://offline/ref=FEB540D53ABE21C72DE75B537137E7CA644A9BEB83E009E07F1D0451B948441C3DA0CBC090627B45FB1A09753C2A0C032466E4B1D8F03AB97FdFM" TargetMode="External"/><Relationship Id="rId3" Type="http://schemas.openxmlformats.org/officeDocument/2006/relationships/webSettings" Target="webSettings.xml"/><Relationship Id="rId21" Type="http://schemas.openxmlformats.org/officeDocument/2006/relationships/hyperlink" Target="consultantplus://offline/ref=FEB540D53ABE21C72DE75B537137E7CA664B9FE086EB09E07F1D0451B948441C3DA0CBC090627944F61A09753C2A0C032466E4B1D8F03AB97FdFM" TargetMode="External"/><Relationship Id="rId7" Type="http://schemas.openxmlformats.org/officeDocument/2006/relationships/hyperlink" Target="consultantplus://offline/ref=FEB540D53ABE21C72DE75B537137E7CA644D95E38DEB09E07F1D0451B948441C3DA0CBC090627943FA1A09753C2A0C032466E4B1D8F03AB97FdFM" TargetMode="External"/><Relationship Id="rId12" Type="http://schemas.openxmlformats.org/officeDocument/2006/relationships/hyperlink" Target="consultantplus://offline/ref=FEB540D53ABE21C72DE75B537137E7CA664B9BE185E609E07F1D0451B948441C3DA0CBC090627843F21A09753C2A0C032466E4B1D8F03AB97FdFM" TargetMode="External"/><Relationship Id="rId17" Type="http://schemas.openxmlformats.org/officeDocument/2006/relationships/hyperlink" Target="consultantplus://offline/ref=FEB540D53ABE21C72DE75B537137E7CA644D95E084E409E07F1D0451B948441C3DA0CBC090627843F01A09753C2A0C032466E4B1D8F03AB97FdFM" TargetMode="External"/><Relationship Id="rId2" Type="http://schemas.openxmlformats.org/officeDocument/2006/relationships/settings" Target="settings.xml"/><Relationship Id="rId16" Type="http://schemas.openxmlformats.org/officeDocument/2006/relationships/hyperlink" Target="consultantplus://offline/ref=FEB540D53ABE21C72DE75B537137E7CA664B9BE185E609E07F1D0451B948441C3DA0CBC090627843F21A09753C2A0C032466E4B1D8F03AB97FdFM" TargetMode="External"/><Relationship Id="rId20" Type="http://schemas.openxmlformats.org/officeDocument/2006/relationships/hyperlink" Target="consultantplus://offline/ref=FEB540D53ABE21C72DE75B537137E7CA664F98E683E209E07F1D0451B948441C3DA0CBC090627847F01A09753C2A0C032466E4B1D8F03AB97FdFM" TargetMode="External"/><Relationship Id="rId1" Type="http://schemas.openxmlformats.org/officeDocument/2006/relationships/styles" Target="styles.xml"/><Relationship Id="rId6" Type="http://schemas.openxmlformats.org/officeDocument/2006/relationships/hyperlink" Target="consultantplus://offline/ref=FEB540D53ABE21C72DE75B537137E7CA664F9FE180E609E07F1D0451B948441C3DA0CBC090637A4AF61A09753C2A0C032466E4B1D8F03AB97FdFM" TargetMode="External"/><Relationship Id="rId11" Type="http://schemas.openxmlformats.org/officeDocument/2006/relationships/hyperlink" Target="consultantplus://offline/ref=FEB540D53ABE21C72DE75B537137E7CA664B9BE185E609E07F1D0451B948441C3DA0CBC090627843F21A09753C2A0C032466E4B1D8F03AB97FdFM" TargetMode="External"/><Relationship Id="rId24" Type="http://schemas.openxmlformats.org/officeDocument/2006/relationships/theme" Target="theme/theme1.xml"/><Relationship Id="rId5" Type="http://schemas.openxmlformats.org/officeDocument/2006/relationships/hyperlink" Target="consultantplus://offline/ref=FEB540D53ABE21C72DE75B537137E7CA644D95E38DEB09E07F1D0451B948441C3DA0CBC090627841F11A09753C2A0C032466E4B1D8F03AB97FdFM" TargetMode="External"/><Relationship Id="rId15" Type="http://schemas.openxmlformats.org/officeDocument/2006/relationships/hyperlink" Target="consultantplus://offline/ref=FEB540D53ABE21C72DE75B537137E7CA664B9BE185E609E07F1D0451B948441C3DA0CBC090627843F21A09753C2A0C032466E4B1D8F03AB97FdFM" TargetMode="External"/><Relationship Id="rId23" Type="http://schemas.openxmlformats.org/officeDocument/2006/relationships/fontTable" Target="fontTable.xml"/><Relationship Id="rId10" Type="http://schemas.openxmlformats.org/officeDocument/2006/relationships/hyperlink" Target="consultantplus://offline/ref=FEB540D53ABE21C72DE75B537137E7CA644395E68CEA09E07F1D0451B948441C3DA0CBC090627843F01A09753C2A0C032466E4B1D8F03AB97FdFM" TargetMode="External"/><Relationship Id="rId19" Type="http://schemas.openxmlformats.org/officeDocument/2006/relationships/hyperlink" Target="consultantplus://offline/ref=FEB540D53ABE21C72DE75B537137E7CA644A9BEB83E009E07F1D0451B948441C3DA0CBC090607A44F01A09753C2A0C032466E4B1D8F03AB97Fd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B540D53ABE21C72DE75B537137E7CA644395E68CE509E07F1D0451B948441C3DA0CBC090627843F01A09753C2A0C032466E4B1D8F03AB97FdFM" TargetMode="External"/><Relationship Id="rId14" Type="http://schemas.openxmlformats.org/officeDocument/2006/relationships/hyperlink" Target="consultantplus://offline/ref=FEB540D53ABE21C72DE75B537137E7CA664B9BE185E609E07F1D0451B948441C3DA0CBC090627843F21A09753C2A0C032466E4B1D8F03AB97FdFM" TargetMode="External"/><Relationship Id="rId22" Type="http://schemas.openxmlformats.org/officeDocument/2006/relationships/hyperlink" Target="consultantplus://offline/ref=FEB540D53ABE21C72DE75B537137E7CA644D95E38DEB09E07F1D0451B948441C3DA0CBC090627843F01A09753C2A0C032466E4B1D8F03AB97F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dc:creator>
  <cp:keywords/>
  <dc:description/>
  <cp:lastModifiedBy>БЕЛ</cp:lastModifiedBy>
  <cp:revision>1</cp:revision>
  <dcterms:created xsi:type="dcterms:W3CDTF">2020-07-28T12:30:00Z</dcterms:created>
  <dcterms:modified xsi:type="dcterms:W3CDTF">2020-07-28T12:31:00Z</dcterms:modified>
</cp:coreProperties>
</file>