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46D" w:rsidRPr="0041246D" w:rsidRDefault="0041246D" w:rsidP="0041246D">
      <w:pPr>
        <w:spacing w:after="240" w:line="240" w:lineRule="auto"/>
        <w:rPr>
          <w:rFonts w:ascii="Verdana" w:eastAsia="Times New Roman" w:hAnsi="Verdana" w:cs="Times New Roman"/>
          <w:color w:val="111111"/>
          <w:sz w:val="21"/>
          <w:szCs w:val="21"/>
          <w:lang w:eastAsia="ru-RU"/>
        </w:rPr>
      </w:pPr>
    </w:p>
    <w:p w:rsidR="0041246D" w:rsidRPr="0041246D" w:rsidRDefault="0041246D" w:rsidP="0041246D">
      <w:pPr>
        <w:spacing w:after="0" w:line="240" w:lineRule="auto"/>
        <w:rPr>
          <w:rFonts w:ascii="Verdana" w:eastAsia="Times New Roman" w:hAnsi="Verdana" w:cs="Times New Roman"/>
          <w:color w:val="111111"/>
          <w:sz w:val="21"/>
          <w:szCs w:val="21"/>
          <w:lang w:eastAsia="ru-RU"/>
        </w:rPr>
      </w:pPr>
      <w:r w:rsidRPr="0041246D">
        <w:rPr>
          <w:rFonts w:ascii="Arial" w:eastAsia="Times New Roman" w:hAnsi="Arial" w:cs="Arial"/>
          <w:color w:val="000000"/>
          <w:sz w:val="24"/>
          <w:szCs w:val="24"/>
          <w:lang w:eastAsia="ru-RU"/>
        </w:rPr>
        <w:t>МИНИСТЕРСТВО ФИНАНСОВ РОССИЙСКОЙ ФЕДЕРАЦИИ</w:t>
      </w:r>
    </w:p>
    <w:p w:rsidR="0041246D" w:rsidRPr="0041246D" w:rsidRDefault="0041246D" w:rsidP="0041246D">
      <w:pPr>
        <w:spacing w:after="0" w:line="240" w:lineRule="auto"/>
        <w:jc w:val="center"/>
        <w:rPr>
          <w:rFonts w:ascii="Verdana" w:eastAsia="Times New Roman" w:hAnsi="Verdana" w:cs="Times New Roman"/>
          <w:color w:val="111111"/>
          <w:sz w:val="21"/>
          <w:szCs w:val="21"/>
          <w:lang w:eastAsia="ru-RU"/>
        </w:rPr>
      </w:pPr>
      <w:r w:rsidRPr="0041246D">
        <w:rPr>
          <w:rFonts w:ascii="Arial" w:eastAsia="Times New Roman" w:hAnsi="Arial" w:cs="Arial"/>
          <w:color w:val="000000"/>
          <w:sz w:val="24"/>
          <w:szCs w:val="24"/>
          <w:lang w:eastAsia="ru-RU"/>
        </w:rPr>
        <w:t>ПИСЬМО</w:t>
      </w:r>
      <w:r w:rsidRPr="0041246D">
        <w:rPr>
          <w:rFonts w:ascii="Arial" w:eastAsia="Times New Roman" w:hAnsi="Arial" w:cs="Arial"/>
          <w:color w:val="000000"/>
          <w:sz w:val="24"/>
          <w:szCs w:val="24"/>
          <w:lang w:eastAsia="ru-RU"/>
        </w:rPr>
        <w:br/>
        <w:t>от 6 августа 2019 г. N 03-03-06/1/59200</w:t>
      </w:r>
    </w:p>
    <w:p w:rsidR="0041246D" w:rsidRPr="0041246D" w:rsidRDefault="0041246D" w:rsidP="0041246D">
      <w:pPr>
        <w:spacing w:after="0" w:line="240" w:lineRule="auto"/>
        <w:rPr>
          <w:rFonts w:ascii="Verdana" w:eastAsia="Times New Roman" w:hAnsi="Verdana" w:cs="Times New Roman"/>
          <w:color w:val="111111"/>
          <w:sz w:val="21"/>
          <w:szCs w:val="21"/>
          <w:lang w:eastAsia="ru-RU"/>
        </w:rPr>
      </w:pPr>
      <w:r w:rsidRPr="0041246D">
        <w:rPr>
          <w:rFonts w:ascii="Arial" w:eastAsia="Times New Roman" w:hAnsi="Arial" w:cs="Arial"/>
          <w:color w:val="000000"/>
          <w:sz w:val="20"/>
          <w:szCs w:val="20"/>
          <w:lang w:eastAsia="ru-RU"/>
        </w:rPr>
        <w:t> </w:t>
      </w:r>
      <w:r w:rsidRPr="0041246D">
        <w:rPr>
          <w:rFonts w:ascii="Arial" w:eastAsia="Times New Roman" w:hAnsi="Arial" w:cs="Arial"/>
          <w:color w:val="000000"/>
          <w:sz w:val="20"/>
          <w:szCs w:val="20"/>
          <w:lang w:eastAsia="ru-RU"/>
        </w:rPr>
        <w:br/>
        <w:t>    Департамент налоговой и таможенной политики рассмотрел письмо по вопросу налогообложения и сообщает следующее.</w:t>
      </w:r>
      <w:r w:rsidRPr="0041246D">
        <w:rPr>
          <w:rFonts w:ascii="Arial" w:eastAsia="Times New Roman" w:hAnsi="Arial" w:cs="Arial"/>
          <w:color w:val="000000"/>
          <w:sz w:val="20"/>
          <w:szCs w:val="20"/>
          <w:lang w:eastAsia="ru-RU"/>
        </w:rPr>
        <w:br/>
        <w:t>    Согласно </w:t>
      </w:r>
      <w:hyperlink r:id="rId4" w:anchor="l11246" w:history="1">
        <w:r w:rsidRPr="0041246D">
          <w:rPr>
            <w:rFonts w:ascii="Arial" w:eastAsia="Times New Roman" w:hAnsi="Arial" w:cs="Arial"/>
            <w:color w:val="0066CC"/>
            <w:sz w:val="20"/>
            <w:szCs w:val="20"/>
            <w:u w:val="single"/>
            <w:lang w:eastAsia="ru-RU"/>
          </w:rPr>
          <w:t>подпункту 2</w:t>
        </w:r>
      </w:hyperlink>
      <w:r w:rsidRPr="0041246D">
        <w:rPr>
          <w:rFonts w:ascii="Arial" w:eastAsia="Times New Roman" w:hAnsi="Arial" w:cs="Arial"/>
          <w:color w:val="000000"/>
          <w:sz w:val="20"/>
          <w:szCs w:val="20"/>
          <w:lang w:eastAsia="ru-RU"/>
        </w:rPr>
        <w:t> пункта 2 статьи 265 Налогового кодекса Российской Федерации (далее - Кодекс) в целях налогообложения прибыли к внереализационным расходам приравниваются убытки, полученные налогоплательщиком в отчетном (налоговом) периоде, в частности суммы безнадежных долгов, а в случае, если налогоплательщик принял решение о создании резерва по сомнительным долгам, суммы безнадежных долгов, не покрытые за счет средств резерва.</w:t>
      </w:r>
      <w:r w:rsidRPr="0041246D">
        <w:rPr>
          <w:rFonts w:ascii="Arial" w:eastAsia="Times New Roman" w:hAnsi="Arial" w:cs="Arial"/>
          <w:color w:val="000000"/>
          <w:sz w:val="20"/>
          <w:szCs w:val="20"/>
          <w:lang w:eastAsia="ru-RU"/>
        </w:rPr>
        <w:br/>
        <w:t>    В соответствии с </w:t>
      </w:r>
      <w:hyperlink r:id="rId5" w:anchor="l8924" w:history="1">
        <w:r w:rsidRPr="0041246D">
          <w:rPr>
            <w:rFonts w:ascii="Arial" w:eastAsia="Times New Roman" w:hAnsi="Arial" w:cs="Arial"/>
            <w:color w:val="0066CC"/>
            <w:sz w:val="20"/>
            <w:szCs w:val="20"/>
            <w:u w:val="single"/>
            <w:lang w:eastAsia="ru-RU"/>
          </w:rPr>
          <w:t>пунктом 2</w:t>
        </w:r>
      </w:hyperlink>
      <w:r w:rsidRPr="0041246D">
        <w:rPr>
          <w:rFonts w:ascii="Arial" w:eastAsia="Times New Roman" w:hAnsi="Arial" w:cs="Arial"/>
          <w:color w:val="000000"/>
          <w:sz w:val="20"/>
          <w:szCs w:val="20"/>
          <w:lang w:eastAsia="ru-RU"/>
        </w:rPr>
        <w:t> статьи 266 Кодекса безнадежными долгами (долгами, нереальными ко взысканию) признаются те долги перед налогоплательщиком, по которым истек установленный срок исковой давности, а также те долги, по которым в соответствии с гражданским законодательством обязательство прекращено вследствие невозможности его исполнения, на основании акта государственного органа или ликвидации организации.</w:t>
      </w:r>
      <w:r w:rsidRPr="0041246D">
        <w:rPr>
          <w:rFonts w:ascii="Arial" w:eastAsia="Times New Roman" w:hAnsi="Arial" w:cs="Arial"/>
          <w:color w:val="000000"/>
          <w:sz w:val="20"/>
          <w:szCs w:val="20"/>
          <w:lang w:eastAsia="ru-RU"/>
        </w:rPr>
        <w:br/>
        <w:t>    Таким образом, </w:t>
      </w:r>
      <w:hyperlink r:id="rId6" w:history="1">
        <w:r w:rsidRPr="0041246D">
          <w:rPr>
            <w:rFonts w:ascii="Arial" w:eastAsia="Times New Roman" w:hAnsi="Arial" w:cs="Arial"/>
            <w:color w:val="0066CC"/>
            <w:sz w:val="20"/>
            <w:szCs w:val="20"/>
            <w:u w:val="single"/>
            <w:lang w:eastAsia="ru-RU"/>
          </w:rPr>
          <w:t>Кодексом</w:t>
        </w:r>
      </w:hyperlink>
      <w:r w:rsidRPr="0041246D">
        <w:rPr>
          <w:rFonts w:ascii="Arial" w:eastAsia="Times New Roman" w:hAnsi="Arial" w:cs="Arial"/>
          <w:color w:val="000000"/>
          <w:sz w:val="20"/>
          <w:szCs w:val="20"/>
          <w:lang w:eastAsia="ru-RU"/>
        </w:rPr>
        <w:t> предусмотрен исчерпывающий перечень оснований, в соответствии с которыми обязательства по дебиторской задолженности признаются безнадежными для целей налогообложения прибыли организаций.</w:t>
      </w:r>
      <w:r w:rsidRPr="0041246D">
        <w:rPr>
          <w:rFonts w:ascii="Arial" w:eastAsia="Times New Roman" w:hAnsi="Arial" w:cs="Arial"/>
          <w:color w:val="000000"/>
          <w:sz w:val="20"/>
          <w:szCs w:val="20"/>
          <w:lang w:eastAsia="ru-RU"/>
        </w:rPr>
        <w:br/>
        <w:t>    При этом, что касается расходов на приобретение права требования долга, полагаем, что указанная сумма не может быть признана безнадежной задолженностью в силу </w:t>
      </w:r>
      <w:hyperlink r:id="rId7" w:anchor="l7337" w:history="1">
        <w:r w:rsidRPr="0041246D">
          <w:rPr>
            <w:rFonts w:ascii="Arial" w:eastAsia="Times New Roman" w:hAnsi="Arial" w:cs="Arial"/>
            <w:color w:val="0066CC"/>
            <w:sz w:val="20"/>
            <w:szCs w:val="20"/>
            <w:u w:val="single"/>
            <w:lang w:eastAsia="ru-RU"/>
          </w:rPr>
          <w:t>пункта 3</w:t>
        </w:r>
      </w:hyperlink>
      <w:r w:rsidRPr="0041246D">
        <w:rPr>
          <w:rFonts w:ascii="Arial" w:eastAsia="Times New Roman" w:hAnsi="Arial" w:cs="Arial"/>
          <w:color w:val="000000"/>
          <w:sz w:val="20"/>
          <w:szCs w:val="20"/>
          <w:lang w:eastAsia="ru-RU"/>
        </w:rPr>
        <w:t> статьи 279 Кодекса.</w:t>
      </w:r>
      <w:r w:rsidRPr="0041246D">
        <w:rPr>
          <w:rFonts w:ascii="Arial" w:eastAsia="Times New Roman" w:hAnsi="Arial" w:cs="Arial"/>
          <w:color w:val="000000"/>
          <w:sz w:val="20"/>
          <w:szCs w:val="20"/>
          <w:lang w:eastAsia="ru-RU"/>
        </w:rPr>
        <w:br/>
        <w:t>    Указанным </w:t>
      </w:r>
      <w:hyperlink r:id="rId8" w:anchor="l7337" w:history="1">
        <w:r w:rsidRPr="0041246D">
          <w:rPr>
            <w:rFonts w:ascii="Arial" w:eastAsia="Times New Roman" w:hAnsi="Arial" w:cs="Arial"/>
            <w:color w:val="0066CC"/>
            <w:sz w:val="20"/>
            <w:szCs w:val="20"/>
            <w:u w:val="single"/>
            <w:lang w:eastAsia="ru-RU"/>
          </w:rPr>
          <w:t>пунктом</w:t>
        </w:r>
      </w:hyperlink>
      <w:r w:rsidRPr="0041246D">
        <w:rPr>
          <w:rFonts w:ascii="Arial" w:eastAsia="Times New Roman" w:hAnsi="Arial" w:cs="Arial"/>
          <w:color w:val="000000"/>
          <w:sz w:val="20"/>
          <w:szCs w:val="20"/>
          <w:lang w:eastAsia="ru-RU"/>
        </w:rPr>
        <w:t> установлено, что при дальнейшей реализации права требования долга налогоплательщиком, купившим это право требования, указанная операция рассматривается как реализация финансовых услуг. Доход (выручка) от реализации финансовых услуг определяется как стоимость имущества, причитающегося этому налогоплательщику при последующей уступке права требования или прекращении соответствующего обязательства. При этом при определении налоговой базы налогоплательщик вправе уменьшить доход, полученный от реализации права требования, на сумму расходов по приобретению указанного права требования долга.</w:t>
      </w:r>
      <w:r w:rsidRPr="0041246D">
        <w:rPr>
          <w:rFonts w:ascii="Arial" w:eastAsia="Times New Roman" w:hAnsi="Arial" w:cs="Arial"/>
          <w:color w:val="000000"/>
          <w:sz w:val="20"/>
          <w:szCs w:val="20"/>
          <w:lang w:eastAsia="ru-RU"/>
        </w:rPr>
        <w:br/>
        <w:t> </w:t>
      </w:r>
    </w:p>
    <w:p w:rsidR="0041246D" w:rsidRPr="0041246D" w:rsidRDefault="0041246D" w:rsidP="0041246D">
      <w:pPr>
        <w:spacing w:after="0" w:line="240" w:lineRule="auto"/>
        <w:rPr>
          <w:rFonts w:ascii="Verdana" w:eastAsia="Times New Roman" w:hAnsi="Verdana" w:cs="Times New Roman"/>
          <w:color w:val="111111"/>
          <w:sz w:val="21"/>
          <w:szCs w:val="21"/>
          <w:lang w:eastAsia="ru-RU"/>
        </w:rPr>
      </w:pPr>
      <w:r w:rsidRPr="0041246D">
        <w:rPr>
          <w:rFonts w:ascii="Arial" w:eastAsia="Times New Roman" w:hAnsi="Arial" w:cs="Arial"/>
          <w:i/>
          <w:iCs/>
          <w:color w:val="000000"/>
          <w:sz w:val="20"/>
          <w:szCs w:val="20"/>
          <w:lang w:eastAsia="ru-RU"/>
        </w:rPr>
        <w:t>Заместитель директора</w:t>
      </w:r>
      <w:r w:rsidRPr="0041246D">
        <w:rPr>
          <w:rFonts w:ascii="Arial" w:eastAsia="Times New Roman" w:hAnsi="Arial" w:cs="Arial"/>
          <w:color w:val="000000"/>
          <w:sz w:val="20"/>
          <w:szCs w:val="20"/>
          <w:lang w:eastAsia="ru-RU"/>
        </w:rPr>
        <w:br/>
      </w:r>
      <w:r w:rsidRPr="0041246D">
        <w:rPr>
          <w:rFonts w:ascii="Arial" w:eastAsia="Times New Roman" w:hAnsi="Arial" w:cs="Arial"/>
          <w:i/>
          <w:iCs/>
          <w:color w:val="000000"/>
          <w:sz w:val="20"/>
          <w:szCs w:val="20"/>
          <w:lang w:eastAsia="ru-RU"/>
        </w:rPr>
        <w:t>Департамента</w:t>
      </w:r>
      <w:r w:rsidRPr="0041246D">
        <w:rPr>
          <w:rFonts w:ascii="Arial" w:eastAsia="Times New Roman" w:hAnsi="Arial" w:cs="Arial"/>
          <w:color w:val="000000"/>
          <w:sz w:val="20"/>
          <w:szCs w:val="20"/>
          <w:lang w:eastAsia="ru-RU"/>
        </w:rPr>
        <w:br/>
      </w:r>
      <w:r w:rsidRPr="0041246D">
        <w:rPr>
          <w:rFonts w:ascii="Arial" w:eastAsia="Times New Roman" w:hAnsi="Arial" w:cs="Arial"/>
          <w:i/>
          <w:iCs/>
          <w:color w:val="000000"/>
          <w:sz w:val="20"/>
          <w:szCs w:val="20"/>
          <w:lang w:eastAsia="ru-RU"/>
        </w:rPr>
        <w:t>Н.А. КУЗЬМИНА</w:t>
      </w:r>
    </w:p>
    <w:p w:rsidR="00F770C3" w:rsidRDefault="00F770C3">
      <w:bookmarkStart w:id="0" w:name="_GoBack"/>
      <w:bookmarkEnd w:id="0"/>
    </w:p>
    <w:sectPr w:rsidR="00F770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F4"/>
    <w:rsid w:val="0041246D"/>
    <w:rsid w:val="00435DF4"/>
    <w:rsid w:val="00F77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14226-739D-49C7-83A7-354C4C13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96106">
      <w:bodyDiv w:val="1"/>
      <w:marLeft w:val="0"/>
      <w:marRight w:val="0"/>
      <w:marTop w:val="0"/>
      <w:marBottom w:val="0"/>
      <w:divBdr>
        <w:top w:val="none" w:sz="0" w:space="0" w:color="auto"/>
        <w:left w:val="none" w:sz="0" w:space="0" w:color="auto"/>
        <w:bottom w:val="none" w:sz="0" w:space="0" w:color="auto"/>
        <w:right w:val="none" w:sz="0" w:space="0" w:color="auto"/>
      </w:divBdr>
      <w:divsChild>
        <w:div w:id="754521025">
          <w:marLeft w:val="0"/>
          <w:marRight w:val="0"/>
          <w:marTop w:val="0"/>
          <w:marBottom w:val="0"/>
          <w:divBdr>
            <w:top w:val="none" w:sz="0" w:space="0" w:color="auto"/>
            <w:left w:val="none" w:sz="0" w:space="0" w:color="auto"/>
            <w:bottom w:val="none" w:sz="0" w:space="0" w:color="auto"/>
            <w:right w:val="none" w:sz="0" w:space="0" w:color="auto"/>
          </w:divBdr>
        </w:div>
        <w:div w:id="1927765619">
          <w:marLeft w:val="0"/>
          <w:marRight w:val="0"/>
          <w:marTop w:val="0"/>
          <w:marBottom w:val="0"/>
          <w:divBdr>
            <w:top w:val="none" w:sz="0" w:space="0" w:color="auto"/>
            <w:left w:val="none" w:sz="0" w:space="0" w:color="auto"/>
            <w:bottom w:val="none" w:sz="0" w:space="0" w:color="auto"/>
            <w:right w:val="none" w:sz="0" w:space="0" w:color="auto"/>
          </w:divBdr>
        </w:div>
        <w:div w:id="223177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erent.ru/1/340480?l7337" TargetMode="External"/><Relationship Id="rId3" Type="http://schemas.openxmlformats.org/officeDocument/2006/relationships/webSettings" Target="webSettings.xml"/><Relationship Id="rId7" Type="http://schemas.openxmlformats.org/officeDocument/2006/relationships/hyperlink" Target="https://www.referent.ru/1/340480?l73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ferent.ru/1/337282" TargetMode="External"/><Relationship Id="rId5" Type="http://schemas.openxmlformats.org/officeDocument/2006/relationships/hyperlink" Target="https://www.referent.ru/1/340480?l8924" TargetMode="External"/><Relationship Id="rId10" Type="http://schemas.openxmlformats.org/officeDocument/2006/relationships/theme" Target="theme/theme1.xml"/><Relationship Id="rId4" Type="http://schemas.openxmlformats.org/officeDocument/2006/relationships/hyperlink" Target="https://www.referent.ru/1/340480?l11246"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dc:creator>
  <cp:keywords/>
  <dc:description/>
  <cp:lastModifiedBy>SeVa</cp:lastModifiedBy>
  <cp:revision>2</cp:revision>
  <dcterms:created xsi:type="dcterms:W3CDTF">2020-07-24T06:13:00Z</dcterms:created>
  <dcterms:modified xsi:type="dcterms:W3CDTF">2020-07-24T06:13:00Z</dcterms:modified>
</cp:coreProperties>
</file>