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C2" w:rsidRDefault="000B2CC2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B2CC2" w:rsidRDefault="000B2CC2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0B2CC2" w:rsidRDefault="000B2CC2">
      <w:pPr>
        <w:widowControl w:val="0"/>
        <w:autoSpaceDE w:val="0"/>
        <w:autoSpaceDN w:val="0"/>
        <w:adjustRightInd w:val="0"/>
        <w:jc w:val="right"/>
      </w:pPr>
      <w:r>
        <w:t>"Предприятия общественного питания: бухгалтерский учет и налогообложение", 2013, N 10</w:t>
      </w:r>
    </w:p>
    <w:p w:rsidR="000B2CC2" w:rsidRDefault="000B2CC2">
      <w:pPr>
        <w:widowControl w:val="0"/>
        <w:autoSpaceDE w:val="0"/>
        <w:autoSpaceDN w:val="0"/>
        <w:adjustRightInd w:val="0"/>
        <w:ind w:firstLine="540"/>
        <w:jc w:val="both"/>
      </w:pPr>
    </w:p>
    <w:p w:rsidR="000B2CC2" w:rsidRDefault="000B2CC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Вопрос:</w:t>
      </w:r>
      <w:r>
        <w:t xml:space="preserve"> Может ли предприятие списывать стоимость канцелярских товаров сразу в расходы, без отражения их на счете 10 "Материалы"?</w:t>
      </w:r>
    </w:p>
    <w:p w:rsidR="000B2CC2" w:rsidRDefault="000B2CC2">
      <w:pPr>
        <w:widowControl w:val="0"/>
        <w:autoSpaceDE w:val="0"/>
        <w:autoSpaceDN w:val="0"/>
        <w:adjustRightInd w:val="0"/>
        <w:ind w:firstLine="540"/>
        <w:jc w:val="both"/>
      </w:pPr>
    </w:p>
    <w:p w:rsidR="000B2CC2" w:rsidRDefault="000B2CC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Ответ:</w:t>
      </w:r>
      <w:r>
        <w:t xml:space="preserve"> Согласно Инструкции по применению Плана счетов канцтовары учитываются по фактической себестоимости их приобретения (заготовления) или учетным ценам на счете 10 "Материалы", </w:t>
      </w:r>
      <w:hyperlink r:id="rId5" w:history="1">
        <w:proofErr w:type="spellStart"/>
        <w:r>
          <w:rPr>
            <w:color w:val="0000FF"/>
          </w:rPr>
          <w:t>субсчет</w:t>
        </w:r>
        <w:proofErr w:type="spellEnd"/>
        <w:r>
          <w:rPr>
            <w:color w:val="0000FF"/>
          </w:rPr>
          <w:t xml:space="preserve"> 10-9</w:t>
        </w:r>
      </w:hyperlink>
      <w:r>
        <w:t xml:space="preserve"> "Инвентарь и хозяйственные принадлежности", в корреспонденции с кредитом </w:t>
      </w:r>
      <w:hyperlink r:id="rId6" w:history="1">
        <w:r>
          <w:rPr>
            <w:color w:val="0000FF"/>
          </w:rPr>
          <w:t>счетов 71</w:t>
        </w:r>
      </w:hyperlink>
      <w:r>
        <w:t xml:space="preserve"> "Расчеты с подотчетными лицами", </w:t>
      </w:r>
      <w:hyperlink r:id="rId7" w:history="1">
        <w:r>
          <w:rPr>
            <w:color w:val="0000FF"/>
          </w:rPr>
          <w:t>60</w:t>
        </w:r>
      </w:hyperlink>
      <w:r>
        <w:t xml:space="preserve"> "Расчеты с поставщиками и подрядчиками".</w:t>
      </w:r>
    </w:p>
    <w:p w:rsidR="000B2CC2" w:rsidRDefault="000B2CC2">
      <w:pPr>
        <w:widowControl w:val="0"/>
        <w:autoSpaceDE w:val="0"/>
        <w:autoSpaceDN w:val="0"/>
        <w:adjustRightInd w:val="0"/>
        <w:ind w:firstLine="540"/>
        <w:jc w:val="both"/>
      </w:pPr>
      <w:r>
        <w:t>Канцелярские товары предприятия покупают часто и в большом количестве, и на практике сложилось два способа отражения этих операций в бухгалтерском учете:</w:t>
      </w:r>
    </w:p>
    <w:p w:rsidR="000B2CC2" w:rsidRDefault="000B2C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 использованием счета 10, когда канцтовары приходуются отдельно по каждой позиции, указанной в накладной или товарном чеке, либо по группам </w:t>
      </w:r>
      <w:hyperlink w:anchor="Par10" w:history="1">
        <w:r>
          <w:rPr>
            <w:color w:val="0000FF"/>
          </w:rPr>
          <w:t>(позиция 1)</w:t>
        </w:r>
      </w:hyperlink>
      <w:r>
        <w:t>;</w:t>
      </w:r>
    </w:p>
    <w:p w:rsidR="000B2CC2" w:rsidRDefault="000B2C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списывают канцтовары сразу в расходы, без отражения их на счете 10 </w:t>
      </w:r>
      <w:hyperlink w:anchor="Par16" w:history="1">
        <w:r>
          <w:rPr>
            <w:color w:val="0000FF"/>
          </w:rPr>
          <w:t>(позиция 2)</w:t>
        </w:r>
      </w:hyperlink>
      <w:r>
        <w:t>.</w:t>
      </w:r>
    </w:p>
    <w:p w:rsidR="000B2CC2" w:rsidRDefault="000B2C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Наиболее обоснованной является </w:t>
      </w:r>
      <w:hyperlink w:anchor="Par10" w:history="1">
        <w:r>
          <w:rPr>
            <w:color w:val="0000FF"/>
          </w:rPr>
          <w:t>позиция 1</w:t>
        </w:r>
      </w:hyperlink>
      <w:r>
        <w:t>, но при этом каждый вправе руководствоваться своим профессиональным суждением.</w:t>
      </w:r>
    </w:p>
    <w:p w:rsidR="000B2CC2" w:rsidRDefault="000B2CC2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0"/>
      <w:bookmarkEnd w:id="0"/>
      <w:r>
        <w:rPr>
          <w:b/>
          <w:bCs/>
        </w:rPr>
        <w:t>Позиция 1.</w:t>
      </w:r>
      <w:r>
        <w:t xml:space="preserve"> Данный способ является довольно трудоемким, но позволяет избежать арифметических ошибок, организовать контроль за сохранностью канцелярских товаров (которые бывают дорогостоящими). До 01.01.2013 предприятия, принимая канцтовары к учету, составляли приходный ордер по </w:t>
      </w:r>
      <w:hyperlink r:id="rId8" w:history="1">
        <w:r>
          <w:rPr>
            <w:color w:val="0000FF"/>
          </w:rPr>
          <w:t>форме М-4</w:t>
        </w:r>
      </w:hyperlink>
      <w:r>
        <w:t xml:space="preserve"> </w:t>
      </w:r>
      <w:hyperlink w:anchor="Par12" w:history="1">
        <w:r>
          <w:rPr>
            <w:color w:val="0000FF"/>
          </w:rPr>
          <w:t>&lt;1&gt;</w:t>
        </w:r>
      </w:hyperlink>
      <w:r>
        <w:t xml:space="preserve">, а при отпуске в эксплуатацию - требование-накладную по </w:t>
      </w:r>
      <w:hyperlink r:id="rId9" w:history="1">
        <w:r>
          <w:rPr>
            <w:color w:val="0000FF"/>
          </w:rPr>
          <w:t>форме М-11</w:t>
        </w:r>
      </w:hyperlink>
      <w:r>
        <w:t>. Начиная с этого года они вправе разрабатывать и утверждать формы самостоятельно (за исключением кассовых документов), но и сейчас экономические субъекты не освобождены от обязанности оформлять каждый факт хозяйственной жизни первичным учетным документом (</w:t>
      </w:r>
      <w:hyperlink r:id="rId10" w:history="1">
        <w:r>
          <w:rPr>
            <w:color w:val="0000FF"/>
          </w:rPr>
          <w:t>ст. 9</w:t>
        </w:r>
      </w:hyperlink>
      <w:r>
        <w:t xml:space="preserve"> Федерального закона от 06.12.2011 N 402-ФЗ). В силу </w:t>
      </w:r>
      <w:hyperlink r:id="rId11" w:history="1">
        <w:r>
          <w:rPr>
            <w:color w:val="0000FF"/>
          </w:rPr>
          <w:t>п. 8 ст. 3</w:t>
        </w:r>
      </w:hyperlink>
      <w:r>
        <w:t xml:space="preserve"> данного Закона под фактом хозяйственной жизни понимается сделка, событие, операция, которые оказывают или способны оказать влияние на финансовое положение экономического субъекта, финансовый результат его деятельности и (или) движение денежных средств.</w:t>
      </w:r>
    </w:p>
    <w:p w:rsidR="000B2CC2" w:rsidRDefault="000B2CC2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0B2CC2" w:rsidRDefault="000B2CC2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2"/>
      <w:bookmarkEnd w:id="1"/>
      <w:r>
        <w:t xml:space="preserve">&lt;1&gt; Утверждена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Госкомстата России от 30.10.1997 N 71а.</w:t>
      </w:r>
    </w:p>
    <w:p w:rsidR="000B2CC2" w:rsidRDefault="000B2CC2">
      <w:pPr>
        <w:widowControl w:val="0"/>
        <w:autoSpaceDE w:val="0"/>
        <w:autoSpaceDN w:val="0"/>
        <w:adjustRightInd w:val="0"/>
        <w:ind w:firstLine="540"/>
        <w:jc w:val="both"/>
      </w:pPr>
    </w:p>
    <w:p w:rsidR="000B2CC2" w:rsidRDefault="000B2C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Право приходовать канцелярские товары по группам (например, "ручки", "бумага", "маркеры", "калькуляторы") предоставлено </w:t>
      </w:r>
      <w:hyperlink r:id="rId13" w:history="1">
        <w:r>
          <w:rPr>
            <w:color w:val="0000FF"/>
          </w:rPr>
          <w:t>п. 3</w:t>
        </w:r>
      </w:hyperlink>
      <w:r>
        <w:t xml:space="preserve"> ПБУ 5/01 "Учет материально-производственных запасов", согласно которому единица бухгалтерского учета МПЗ выбирается организацией самостоятельно, чтобы обеспечить формирование полной и достоверной информации об этих запасах, а также надлежащий контроль за их наличием и движением (например, номенклатурный номер, партия, однородная группа).</w:t>
      </w:r>
    </w:p>
    <w:p w:rsidR="000B2CC2" w:rsidRDefault="000B2CC2">
      <w:pPr>
        <w:widowControl w:val="0"/>
        <w:autoSpaceDE w:val="0"/>
        <w:autoSpaceDN w:val="0"/>
        <w:adjustRightInd w:val="0"/>
        <w:ind w:firstLine="540"/>
        <w:jc w:val="both"/>
      </w:pPr>
      <w:r>
        <w:t>Однако в отношении канцелярских товаров этот способ не облегчит работу бухгалтера, а скорее усложнит ее, да еще может привести к арифметическим ошибкам (поскольку в накладной поставщика нужно будет подсчитать общее количество единиц одной группы, рассчитать среднюю цену единицы).</w:t>
      </w:r>
    </w:p>
    <w:p w:rsidR="000B2CC2" w:rsidRDefault="000B2CC2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6"/>
      <w:bookmarkEnd w:id="2"/>
      <w:r>
        <w:rPr>
          <w:b/>
          <w:bCs/>
        </w:rPr>
        <w:t>Позиция 2.</w:t>
      </w:r>
      <w:r>
        <w:t xml:space="preserve"> Этот способ с точки зрения трудоемкости самый выгодный, но его применение грозит предприятию финансовыми потерями. В первую очередь в таком случае нарушаются требования </w:t>
      </w:r>
      <w:hyperlink r:id="rId14" w:history="1">
        <w:r>
          <w:rPr>
            <w:color w:val="0000FF"/>
          </w:rPr>
          <w:t>п. п. 5</w:t>
        </w:r>
      </w:hyperlink>
      <w:r>
        <w:t xml:space="preserve">, </w:t>
      </w:r>
      <w:hyperlink r:id="rId15" w:history="1">
        <w:r>
          <w:rPr>
            <w:color w:val="0000FF"/>
          </w:rPr>
          <w:t>16</w:t>
        </w:r>
      </w:hyperlink>
      <w:r>
        <w:t xml:space="preserve"> ПБУ 5/01, согласно которым материально-производственные запасы </w:t>
      </w:r>
      <w:r>
        <w:rPr>
          <w:b/>
          <w:bCs/>
        </w:rPr>
        <w:t>принимаются</w:t>
      </w:r>
      <w:r>
        <w:t xml:space="preserve"> к бухгалтерскому учету и </w:t>
      </w:r>
      <w:r>
        <w:rPr>
          <w:b/>
          <w:bCs/>
        </w:rPr>
        <w:t>отпускаются</w:t>
      </w:r>
      <w:r>
        <w:t xml:space="preserve"> в производство по определенным правилам. Отсутствие необходимой составляющей бухгалтерского учета позволяет квалифицировать эти операции как неправильное </w:t>
      </w:r>
      <w:r>
        <w:lastRenderedPageBreak/>
        <w:t xml:space="preserve">отражение на счетах бухгалтерского учета операций, материальных ценностей, что в соответствии со </w:t>
      </w:r>
      <w:hyperlink r:id="rId16" w:history="1">
        <w:r>
          <w:rPr>
            <w:color w:val="0000FF"/>
          </w:rPr>
          <w:t>ст. 120</w:t>
        </w:r>
      </w:hyperlink>
      <w:r>
        <w:t xml:space="preserve"> НК РФ считается грубым нарушением правил учета доходов и (или) расходов и (или) объектов налогообложения и, соответственно, влечет взыскание штрафа в размере 10 000 руб. (30 000 руб. - если деяние совершено в течение более одного налогового периода). Под грубым нарушением правил учета доходов и расходов и объектов налогообложения понимается неправильное отражение операций, материальных ценностей не только на счетах бухгалтерского учета, но и в регистрах налогового учета.</w:t>
      </w:r>
    </w:p>
    <w:p w:rsidR="000B2CC2" w:rsidRDefault="000B2C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Второй момент: как правило, налогоплательщики формируют налоговый учет на основании данных бухгалтерского учета в силу </w:t>
      </w:r>
      <w:hyperlink r:id="rId17" w:history="1">
        <w:r>
          <w:rPr>
            <w:color w:val="0000FF"/>
          </w:rPr>
          <w:t>ст. 313</w:t>
        </w:r>
      </w:hyperlink>
      <w:r>
        <w:t xml:space="preserve"> НК РФ, и, если они будут признаны "недостоверными", это автоматически повлечет искажение налогового учета.</w:t>
      </w:r>
    </w:p>
    <w:p w:rsidR="000B2CC2" w:rsidRDefault="000B2C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Ну и наконец, проблемы могут возникнуть и с правом на вычет "входного" НДС, поскольку согласно </w:t>
      </w:r>
      <w:hyperlink r:id="rId18" w:history="1">
        <w:r>
          <w:rPr>
            <w:color w:val="0000FF"/>
          </w:rPr>
          <w:t>ст. 172</w:t>
        </w:r>
      </w:hyperlink>
      <w:r>
        <w:t xml:space="preserve"> НК РФ налог может быть принят к вычету </w:t>
      </w:r>
      <w:r>
        <w:rPr>
          <w:b/>
          <w:bCs/>
        </w:rPr>
        <w:t>после принятия на учет</w:t>
      </w:r>
      <w:r>
        <w:t xml:space="preserve"> товаров (работ, услуг). В этом случае нужно помнить, что налоговики могут решить, что канцелярские товары на учет налогоплательщиком не принимались.</w:t>
      </w:r>
    </w:p>
    <w:p w:rsidR="000B2CC2" w:rsidRDefault="000B2CC2">
      <w:pPr>
        <w:widowControl w:val="0"/>
        <w:autoSpaceDE w:val="0"/>
        <w:autoSpaceDN w:val="0"/>
        <w:adjustRightInd w:val="0"/>
        <w:ind w:firstLine="540"/>
        <w:jc w:val="both"/>
      </w:pPr>
    </w:p>
    <w:p w:rsidR="000B2CC2" w:rsidRDefault="000B2CC2">
      <w:pPr>
        <w:widowControl w:val="0"/>
        <w:autoSpaceDE w:val="0"/>
        <w:autoSpaceDN w:val="0"/>
        <w:adjustRightInd w:val="0"/>
        <w:jc w:val="right"/>
      </w:pPr>
      <w:proofErr w:type="spellStart"/>
      <w:r>
        <w:t>Н.В.Лебедева</w:t>
      </w:r>
      <w:proofErr w:type="spellEnd"/>
    </w:p>
    <w:p w:rsidR="000B2CC2" w:rsidRDefault="000B2CC2">
      <w:pPr>
        <w:widowControl w:val="0"/>
        <w:autoSpaceDE w:val="0"/>
        <w:autoSpaceDN w:val="0"/>
        <w:adjustRightInd w:val="0"/>
        <w:jc w:val="right"/>
      </w:pPr>
      <w:r>
        <w:t>Редактор журнала</w:t>
      </w:r>
    </w:p>
    <w:p w:rsidR="000B2CC2" w:rsidRDefault="000B2CC2">
      <w:pPr>
        <w:widowControl w:val="0"/>
        <w:autoSpaceDE w:val="0"/>
        <w:autoSpaceDN w:val="0"/>
        <w:adjustRightInd w:val="0"/>
        <w:jc w:val="right"/>
      </w:pPr>
      <w:r>
        <w:t>"Предприятия общественного питания:</w:t>
      </w:r>
    </w:p>
    <w:p w:rsidR="000B2CC2" w:rsidRDefault="000B2CC2">
      <w:pPr>
        <w:widowControl w:val="0"/>
        <w:autoSpaceDE w:val="0"/>
        <w:autoSpaceDN w:val="0"/>
        <w:adjustRightInd w:val="0"/>
        <w:jc w:val="right"/>
      </w:pPr>
      <w:r>
        <w:t>бухгалтерский учет и налогообложение"</w:t>
      </w:r>
    </w:p>
    <w:p w:rsidR="000B2CC2" w:rsidRDefault="000B2CC2">
      <w:pPr>
        <w:widowControl w:val="0"/>
        <w:autoSpaceDE w:val="0"/>
        <w:autoSpaceDN w:val="0"/>
        <w:adjustRightInd w:val="0"/>
      </w:pPr>
      <w:r>
        <w:t>Подписано в печать</w:t>
      </w:r>
    </w:p>
    <w:p w:rsidR="000B2CC2" w:rsidRDefault="000B2CC2">
      <w:pPr>
        <w:widowControl w:val="0"/>
        <w:autoSpaceDE w:val="0"/>
        <w:autoSpaceDN w:val="0"/>
        <w:adjustRightInd w:val="0"/>
      </w:pPr>
      <w:r>
        <w:t>09.10.2013</w:t>
      </w:r>
    </w:p>
    <w:p w:rsidR="000B2CC2" w:rsidRDefault="000B2CC2">
      <w:pPr>
        <w:widowControl w:val="0"/>
        <w:autoSpaceDE w:val="0"/>
        <w:autoSpaceDN w:val="0"/>
        <w:adjustRightInd w:val="0"/>
        <w:jc w:val="both"/>
      </w:pPr>
    </w:p>
    <w:p w:rsidR="000B2CC2" w:rsidRDefault="000B2CC2">
      <w:pPr>
        <w:widowControl w:val="0"/>
        <w:autoSpaceDE w:val="0"/>
        <w:autoSpaceDN w:val="0"/>
        <w:adjustRightInd w:val="0"/>
        <w:jc w:val="both"/>
      </w:pPr>
    </w:p>
    <w:p w:rsidR="000B2CC2" w:rsidRDefault="000B2CC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1319C0" w:rsidRDefault="001319C0"/>
    <w:p w:rsidR="000B2CC2" w:rsidRDefault="000B2CC2"/>
    <w:p w:rsidR="000B2CC2" w:rsidRDefault="000B2CC2"/>
    <w:p w:rsidR="000B2CC2" w:rsidRDefault="000B2CC2"/>
    <w:p w:rsidR="000B2CC2" w:rsidRDefault="000B2CC2"/>
    <w:p w:rsidR="000B2CC2" w:rsidRDefault="000B2CC2"/>
    <w:p w:rsidR="000B2CC2" w:rsidRDefault="000B2CC2" w:rsidP="000B2CC2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По мнению ФАС Поволжского округа, изложенному в </w:t>
      </w:r>
      <w:hyperlink r:id="rId19" w:history="1">
        <w:r>
          <w:rPr>
            <w:color w:val="0000FF"/>
            <w:lang w:eastAsia="ru-RU"/>
          </w:rPr>
          <w:t>Постановлении</w:t>
        </w:r>
      </w:hyperlink>
      <w:r>
        <w:rPr>
          <w:lang w:eastAsia="ru-RU"/>
        </w:rPr>
        <w:t xml:space="preserve"> от 03.02.2006 по делу N А55-14012/05-32, указание в товарных чеках на то, что налогоплательщиком приобретались канцелярские товары, даже без их расшифровки, является достаточным основанием для признания расходов по </w:t>
      </w:r>
      <w:hyperlink r:id="rId20" w:history="1">
        <w:proofErr w:type="spellStart"/>
        <w:r>
          <w:rPr>
            <w:color w:val="0000FF"/>
            <w:lang w:eastAsia="ru-RU"/>
          </w:rPr>
          <w:t>пп</w:t>
        </w:r>
        <w:proofErr w:type="spellEnd"/>
        <w:r>
          <w:rPr>
            <w:color w:val="0000FF"/>
            <w:lang w:eastAsia="ru-RU"/>
          </w:rPr>
          <w:t>. 17 п. 1 ст. 346.16</w:t>
        </w:r>
      </w:hyperlink>
      <w:r>
        <w:rPr>
          <w:lang w:eastAsia="ru-RU"/>
        </w:rPr>
        <w:t xml:space="preserve"> НК РФ.</w:t>
      </w:r>
    </w:p>
    <w:p w:rsidR="000B2CC2" w:rsidRDefault="000B2CC2" w:rsidP="000B2CC2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0B2CC2" w:rsidRDefault="000B2CC2" w:rsidP="000B2CC2">
      <w:pPr>
        <w:autoSpaceDE w:val="0"/>
        <w:autoSpaceDN w:val="0"/>
        <w:adjustRightInd w:val="0"/>
        <w:jc w:val="right"/>
        <w:rPr>
          <w:lang w:eastAsia="ru-RU"/>
        </w:rPr>
      </w:pPr>
      <w:proofErr w:type="spellStart"/>
      <w:r>
        <w:rPr>
          <w:lang w:eastAsia="ru-RU"/>
        </w:rPr>
        <w:t>Л.Л.Горшкова</w:t>
      </w:r>
      <w:proofErr w:type="spellEnd"/>
    </w:p>
    <w:p w:rsidR="000B2CC2" w:rsidRDefault="000B2CC2" w:rsidP="000B2CC2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ООО "Центр методологии бухгалтерского учета</w:t>
      </w:r>
    </w:p>
    <w:p w:rsidR="000B2CC2" w:rsidRDefault="000B2CC2" w:rsidP="000B2CC2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и налогообложения"</w:t>
      </w:r>
    </w:p>
    <w:p w:rsidR="000B2CC2" w:rsidRDefault="000B2CC2" w:rsidP="000B2CC2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07.12.2007</w:t>
      </w:r>
    </w:p>
    <w:p w:rsidR="000B2CC2" w:rsidRDefault="000B2CC2">
      <w:bookmarkStart w:id="3" w:name="_GoBack"/>
      <w:bookmarkEnd w:id="3"/>
    </w:p>
    <w:sectPr w:rsidR="000B2CC2" w:rsidSect="00835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C2"/>
    <w:rsid w:val="000B2CC2"/>
    <w:rsid w:val="0013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F22F6-2326-4C7C-8324-CAFCBEBA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91DE8AB11D5C28050DB299ED73160E30BDE7B4DAEE7FA961CBBE1B5C6B74DF70356D46E49DE17FEW" TargetMode="External"/><Relationship Id="rId13" Type="http://schemas.openxmlformats.org/officeDocument/2006/relationships/hyperlink" Target="consultantplus://offline/ref=60891DE8AB11D5C28050DB299ED73160E60AD87E45A7BAF09E45B7E3B2C9E85AF04A5AD56F4FD87B15F0W" TargetMode="External"/><Relationship Id="rId18" Type="http://schemas.openxmlformats.org/officeDocument/2006/relationships/hyperlink" Target="consultantplus://offline/ref=60891DE8AB11D5C28050DB299ED73160E60ED87946A1BAF09E45B7E3B2C9E85AF04A5AD26E481DFBW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0891DE8AB11D5C28050DB299ED73160E60AD87442A7BAF09E45B7E3B2C9E85AF04A5AD56F4EDD7115F2W" TargetMode="External"/><Relationship Id="rId12" Type="http://schemas.openxmlformats.org/officeDocument/2006/relationships/hyperlink" Target="consultantplus://offline/ref=60891DE8AB11D5C28050DB299ED73160E30BDE7B4DAEE7FA961CBBE1B5C6B74DF70356D46F4FD917F9W" TargetMode="External"/><Relationship Id="rId17" Type="http://schemas.openxmlformats.org/officeDocument/2006/relationships/hyperlink" Target="consultantplus://offline/ref=60891DE8AB11D5C28050DB299ED73160E60ED87946A1BAF09E45B7E3B2C9E85AF04A5AD56F4CD87D15F6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891DE8AB11D5C28050DB299ED73160E60ED6744DA7BAF09E45B7E3B2C9E85AF04A5AD56F4ED97E15FCW" TargetMode="External"/><Relationship Id="rId20" Type="http://schemas.openxmlformats.org/officeDocument/2006/relationships/hyperlink" Target="consultantplus://offline/ref=44B87076D5A2AFA4C17F31AAB2E25311905911AA0B44FF116EB1C69551D31FD2C94B982E92B354x0G5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891DE8AB11D5C28050DB299ED73160E60AD87442A7BAF09E45B7E3B2C9E85AF04A5AD56F4ED07F15F3W" TargetMode="External"/><Relationship Id="rId11" Type="http://schemas.openxmlformats.org/officeDocument/2006/relationships/hyperlink" Target="consultantplus://offline/ref=60891DE8AB11D5C28050DB299ED73160E60ED77B4DA5BAF09E45B7E3B2C9E85AF04A5AD56F4FD87A15F6W" TargetMode="External"/><Relationship Id="rId5" Type="http://schemas.openxmlformats.org/officeDocument/2006/relationships/hyperlink" Target="consultantplus://offline/ref=60891DE8AB11D5C28050DB299ED73160E60AD87442A7BAF09E45B7E3B2C9E85AF04A5AD56F4FDE7A15F2W" TargetMode="External"/><Relationship Id="rId15" Type="http://schemas.openxmlformats.org/officeDocument/2006/relationships/hyperlink" Target="consultantplus://offline/ref=60891DE8AB11D5C28050DB299ED73160E60AD87E45A7BAF09E45B7E3B2C9E85AF04A5AD56F4FD87C15F1W" TargetMode="External"/><Relationship Id="rId10" Type="http://schemas.openxmlformats.org/officeDocument/2006/relationships/hyperlink" Target="consultantplus://offline/ref=60891DE8AB11D5C28050DB299ED73160E60ED77B4DA5BAF09E45B7E3B2C9E85AF04A5AD56F4FD87E15FCW" TargetMode="External"/><Relationship Id="rId19" Type="http://schemas.openxmlformats.org/officeDocument/2006/relationships/hyperlink" Target="consultantplus://offline/ref=44B87076D5A2AFA4C17F3CBBB3E25311955E12A90344FF116EB1C695x5G1W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0891DE8AB11D5C28050DB299ED73160E30BDE7B4DAEE7FA961CBBE1B5C6B74DF70356D46D4ED917F0W" TargetMode="External"/><Relationship Id="rId14" Type="http://schemas.openxmlformats.org/officeDocument/2006/relationships/hyperlink" Target="consultantplus://offline/ref=60891DE8AB11D5C28050DB299ED73160E60AD87E45A7BAF09E45B7E3B2C9E85AF04A5AD56F4FD87B15FD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2015-12-07T22:05:00Z</dcterms:created>
  <dcterms:modified xsi:type="dcterms:W3CDTF">2015-12-07T22:07:00Z</dcterms:modified>
</cp:coreProperties>
</file>